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8"/>
          <w:szCs w:val="28"/>
        </w:rPr>
      </w:pPr>
      <w:r w:rsidDel="00000000" w:rsidR="00000000" w:rsidRPr="00000000">
        <w:rPr>
          <w:rtl w:val="0"/>
        </w:rPr>
      </w:r>
    </w:p>
    <w:tbl>
      <w:tblPr>
        <w:tblStyle w:val="Table1"/>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6195"/>
        <w:tblGridChange w:id="0">
          <w:tblGrid>
            <w:gridCol w:w="3405"/>
            <w:gridCol w:w="61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b w:val="1"/>
                <w:sz w:val="28"/>
                <w:szCs w:val="28"/>
              </w:rPr>
            </w:pPr>
            <w:r w:rsidDel="00000000" w:rsidR="00000000" w:rsidRPr="00000000">
              <w:rPr>
                <w:b w:val="1"/>
                <w:sz w:val="28"/>
                <w:szCs w:val="28"/>
                <w:rtl w:val="0"/>
              </w:rPr>
              <w:t xml:space="preserve">Livello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sz w:val="28"/>
                <w:szCs w:val="28"/>
              </w:rPr>
            </w:pPr>
            <w:r w:rsidDel="00000000" w:rsidR="00000000" w:rsidRPr="00000000">
              <w:rPr>
                <w:sz w:val="28"/>
                <w:szCs w:val="28"/>
                <w:rtl w:val="0"/>
              </w:rPr>
              <w:t xml:space="preserve">B2 / C1</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8"/>
                <w:szCs w:val="28"/>
              </w:rPr>
            </w:pPr>
            <w:r w:rsidDel="00000000" w:rsidR="00000000" w:rsidRPr="00000000">
              <w:rPr>
                <w:b w:val="1"/>
                <w:sz w:val="28"/>
                <w:szCs w:val="28"/>
                <w:rtl w:val="0"/>
              </w:rPr>
              <w:t xml:space="preserve">Contesto di apprendimento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i w:val="1"/>
                <w:sz w:val="28"/>
                <w:szCs w:val="28"/>
              </w:rPr>
            </w:pPr>
            <w:r w:rsidDel="00000000" w:rsidR="00000000" w:rsidRPr="00000000">
              <w:rPr>
                <w:i w:val="1"/>
                <w:sz w:val="28"/>
                <w:szCs w:val="28"/>
                <w:rtl w:val="0"/>
              </w:rPr>
              <w:t xml:space="preserve">Italiano Lingua Seconda / Lingua Straniera</w:t>
            </w:r>
          </w:p>
          <w:p w:rsidR="00000000" w:rsidDel="00000000" w:rsidP="00000000" w:rsidRDefault="00000000" w:rsidRPr="00000000" w14:paraId="00000006">
            <w:pPr>
              <w:widowControl w:val="0"/>
              <w:spacing w:line="240" w:lineRule="auto"/>
              <w:rPr>
                <w:i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b w:val="1"/>
                <w:sz w:val="28"/>
                <w:szCs w:val="28"/>
              </w:rPr>
            </w:pPr>
            <w:r w:rsidDel="00000000" w:rsidR="00000000" w:rsidRPr="00000000">
              <w:rPr>
                <w:b w:val="1"/>
                <w:sz w:val="28"/>
                <w:szCs w:val="28"/>
                <w:rtl w:val="0"/>
              </w:rPr>
              <w:t xml:space="preserve">Obiettivo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i w:val="1"/>
                <w:sz w:val="28"/>
                <w:szCs w:val="28"/>
              </w:rPr>
            </w:pPr>
            <w:r w:rsidDel="00000000" w:rsidR="00000000" w:rsidRPr="00000000">
              <w:rPr>
                <w:i w:val="1"/>
                <w:sz w:val="28"/>
                <w:szCs w:val="28"/>
                <w:rtl w:val="0"/>
              </w:rPr>
              <w:t xml:space="preserve">Fare una presentazione per illustrare le caratteristiche di una città candidata a diventare la sede di un’istituzione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b w:val="1"/>
                <w:sz w:val="28"/>
                <w:szCs w:val="28"/>
              </w:rPr>
            </w:pPr>
            <w:r w:rsidDel="00000000" w:rsidR="00000000" w:rsidRPr="00000000">
              <w:rPr>
                <w:b w:val="1"/>
                <w:sz w:val="28"/>
                <w:szCs w:val="28"/>
                <w:rtl w:val="0"/>
              </w:rPr>
              <w:t xml:space="preserve">Abilità esercitate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i w:val="1"/>
                <w:sz w:val="28"/>
                <w:szCs w:val="28"/>
              </w:rPr>
            </w:pPr>
            <w:r w:rsidDel="00000000" w:rsidR="00000000" w:rsidRPr="00000000">
              <w:rPr>
                <w:i w:val="1"/>
                <w:sz w:val="28"/>
                <w:szCs w:val="28"/>
                <w:rtl w:val="0"/>
              </w:rPr>
              <w:t xml:space="preserve">Comprensione scritta</w:t>
            </w:r>
          </w:p>
          <w:p w:rsidR="00000000" w:rsidDel="00000000" w:rsidP="00000000" w:rsidRDefault="00000000" w:rsidRPr="00000000" w14:paraId="0000000B">
            <w:pPr>
              <w:widowControl w:val="0"/>
              <w:spacing w:line="240" w:lineRule="auto"/>
              <w:rPr>
                <w:i w:val="1"/>
                <w:sz w:val="28"/>
                <w:szCs w:val="28"/>
              </w:rPr>
            </w:pPr>
            <w:r w:rsidDel="00000000" w:rsidR="00000000" w:rsidRPr="00000000">
              <w:rPr>
                <w:i w:val="1"/>
                <w:sz w:val="28"/>
                <w:szCs w:val="28"/>
                <w:rtl w:val="0"/>
              </w:rPr>
              <w:t xml:space="preserve">Produzione orale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sz w:val="28"/>
                <w:szCs w:val="28"/>
              </w:rPr>
            </w:pPr>
            <w:r w:rsidDel="00000000" w:rsidR="00000000" w:rsidRPr="00000000">
              <w:rPr>
                <w:b w:val="1"/>
                <w:sz w:val="28"/>
                <w:szCs w:val="28"/>
                <w:rtl w:val="0"/>
              </w:rPr>
              <w:t xml:space="preserve">Consigliato per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ind w:right="-103.7007874015751"/>
              <w:rPr>
                <w:i w:val="1"/>
                <w:sz w:val="28"/>
                <w:szCs w:val="28"/>
              </w:rPr>
            </w:pPr>
            <w:r w:rsidDel="00000000" w:rsidR="00000000" w:rsidRPr="00000000">
              <w:rPr>
                <w:i w:val="1"/>
                <w:sz w:val="28"/>
                <w:szCs w:val="28"/>
                <w:rtl w:val="0"/>
              </w:rPr>
              <w:t xml:space="preserve">Persone che studiano presso le facoltà di Legge e Economia</w:t>
            </w:r>
          </w:p>
          <w:p w:rsidR="00000000" w:rsidDel="00000000" w:rsidP="00000000" w:rsidRDefault="00000000" w:rsidRPr="00000000" w14:paraId="0000000E">
            <w:pPr>
              <w:widowControl w:val="0"/>
              <w:spacing w:line="240" w:lineRule="auto"/>
              <w:ind w:right="-103.7007874015751"/>
              <w:rPr>
                <w:i w:val="1"/>
                <w:sz w:val="28"/>
                <w:szCs w:val="28"/>
              </w:rPr>
            </w:pPr>
            <w:r w:rsidDel="00000000" w:rsidR="00000000" w:rsidRPr="00000000">
              <w:rPr>
                <w:i w:val="1"/>
                <w:sz w:val="28"/>
                <w:szCs w:val="28"/>
                <w:rtl w:val="0"/>
              </w:rPr>
              <w:t xml:space="preserve">Persone che lavorano nelle istituzioni </w:t>
            </w:r>
          </w:p>
          <w:p w:rsidR="00000000" w:rsidDel="00000000" w:rsidP="00000000" w:rsidRDefault="00000000" w:rsidRPr="00000000" w14:paraId="0000000F">
            <w:pPr>
              <w:widowControl w:val="0"/>
              <w:spacing w:line="240" w:lineRule="auto"/>
              <w:ind w:right="-103.7007874015751"/>
              <w:rPr>
                <w:i w:val="1"/>
                <w:sz w:val="28"/>
                <w:szCs w:val="28"/>
              </w:rPr>
            </w:pPr>
            <w:r w:rsidDel="00000000" w:rsidR="00000000" w:rsidRPr="00000000">
              <w:rPr>
                <w:i w:val="1"/>
                <w:sz w:val="28"/>
                <w:szCs w:val="28"/>
                <w:rtl w:val="0"/>
              </w:rPr>
              <w:t xml:space="preserve">Persone interessate alla materia economica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sz w:val="28"/>
                <w:szCs w:val="28"/>
              </w:rPr>
            </w:pPr>
            <w:r w:rsidDel="00000000" w:rsidR="00000000" w:rsidRPr="00000000">
              <w:rPr>
                <w:b w:val="1"/>
                <w:sz w:val="28"/>
                <w:szCs w:val="28"/>
                <w:rtl w:val="0"/>
              </w:rPr>
              <w:t xml:space="preserve">Fonti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i w:val="1"/>
                <w:sz w:val="24"/>
                <w:szCs w:val="24"/>
              </w:rPr>
            </w:pPr>
            <w:hyperlink r:id="rId6">
              <w:r w:rsidDel="00000000" w:rsidR="00000000" w:rsidRPr="00000000">
                <w:rPr>
                  <w:i w:val="1"/>
                  <w:color w:val="1155cc"/>
                  <w:sz w:val="24"/>
                  <w:szCs w:val="24"/>
                  <w:u w:val="single"/>
                  <w:rtl w:val="0"/>
                </w:rPr>
                <w:t xml:space="preserve">Antiriciclaggio: a Francoforte la sede della nuova agenzia Ue. Battuta Roma - Il Sole 24 ORE</w:t>
              </w:r>
            </w:hyperlink>
            <w:r w:rsidDel="00000000" w:rsidR="00000000" w:rsidRPr="00000000">
              <w:rPr>
                <w:rtl w:val="0"/>
              </w:rPr>
            </w:r>
          </w:p>
          <w:p w:rsidR="00000000" w:rsidDel="00000000" w:rsidP="00000000" w:rsidRDefault="00000000" w:rsidRPr="00000000" w14:paraId="00000012">
            <w:pPr>
              <w:widowControl w:val="0"/>
              <w:spacing w:line="240" w:lineRule="auto"/>
              <w:rPr>
                <w:i w:val="1"/>
                <w:sz w:val="24"/>
                <w:szCs w:val="24"/>
              </w:rPr>
            </w:pPr>
            <w:r w:rsidDel="00000000" w:rsidR="00000000" w:rsidRPr="00000000">
              <w:rPr>
                <w:rtl w:val="0"/>
              </w:rPr>
            </w:r>
          </w:p>
          <w:p w:rsidR="00000000" w:rsidDel="00000000" w:rsidP="00000000" w:rsidRDefault="00000000" w:rsidRPr="00000000" w14:paraId="00000013">
            <w:pPr>
              <w:widowControl w:val="0"/>
              <w:spacing w:line="240" w:lineRule="auto"/>
              <w:rPr>
                <w:i w:val="1"/>
                <w:sz w:val="24"/>
                <w:szCs w:val="24"/>
              </w:rPr>
            </w:pPr>
            <w:hyperlink r:id="rId7">
              <w:r w:rsidDel="00000000" w:rsidR="00000000" w:rsidRPr="00000000">
                <w:rPr>
                  <w:i w:val="1"/>
                  <w:color w:val="1155cc"/>
                  <w:sz w:val="24"/>
                  <w:szCs w:val="24"/>
                  <w:u w:val="single"/>
                  <w:rtl w:val="0"/>
                </w:rPr>
                <w:t xml:space="preserve">Roma Capitale | Sito Istituzionale | Autorità Antiriciclaggio Europea, Roma candidata (comune.roma.it)</w:t>
              </w:r>
            </w:hyperlink>
            <w:r w:rsidDel="00000000" w:rsidR="00000000" w:rsidRPr="00000000">
              <w:rPr>
                <w:rtl w:val="0"/>
              </w:rPr>
            </w:r>
          </w:p>
        </w:tc>
      </w:tr>
    </w:tbl>
    <w:p w:rsidR="00000000" w:rsidDel="00000000" w:rsidP="00000000" w:rsidRDefault="00000000" w:rsidRPr="00000000" w14:paraId="00000014">
      <w:pPr>
        <w:rPr>
          <w:sz w:val="28"/>
          <w:szCs w:val="28"/>
        </w:rPr>
      </w:pPr>
      <w:r w:rsidDel="00000000" w:rsidR="00000000" w:rsidRPr="00000000">
        <w:rPr>
          <w:rtl w:val="0"/>
        </w:rPr>
      </w:r>
    </w:p>
    <w:p w:rsidR="00000000" w:rsidDel="00000000" w:rsidP="00000000" w:rsidRDefault="00000000" w:rsidRPr="00000000" w14:paraId="00000015">
      <w:pPr>
        <w:rPr>
          <w:sz w:val="28"/>
          <w:szCs w:val="28"/>
        </w:rPr>
      </w:pPr>
      <w:r w:rsidDel="00000000" w:rsidR="00000000" w:rsidRPr="00000000">
        <w:rPr>
          <w:rtl w:val="0"/>
        </w:rPr>
      </w:r>
    </w:p>
    <w:tbl>
      <w:tblPr>
        <w:tblStyle w:val="Table2"/>
        <w:tblW w:w="96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45"/>
        <w:gridCol w:w="7230"/>
        <w:tblGridChange w:id="0">
          <w:tblGrid>
            <w:gridCol w:w="2445"/>
            <w:gridCol w:w="7230"/>
          </w:tblGrid>
        </w:tblGridChange>
      </w:tblGrid>
      <w:tr>
        <w:trPr>
          <w:cantSplit w:val="0"/>
          <w:trHeight w:val="546.97265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ind w:right="-31.06299212598401"/>
              <w:jc w:val="center"/>
              <w:rPr>
                <w:b w:val="1"/>
                <w:sz w:val="28"/>
                <w:szCs w:val="28"/>
              </w:rPr>
            </w:pPr>
            <w:r w:rsidDel="00000000" w:rsidR="00000000" w:rsidRPr="00000000">
              <w:rPr>
                <w:b w:val="1"/>
                <w:sz w:val="28"/>
                <w:szCs w:val="28"/>
                <w:rtl w:val="0"/>
              </w:rPr>
              <w:t xml:space="preserve">Lista di attività</w:t>
            </w:r>
          </w:p>
          <w:p w:rsidR="00000000" w:rsidDel="00000000" w:rsidP="00000000" w:rsidRDefault="00000000" w:rsidRPr="00000000" w14:paraId="00000017">
            <w:pPr>
              <w:widowControl w:val="0"/>
              <w:spacing w:line="240" w:lineRule="auto"/>
              <w:ind w:right="-31.06299212598401"/>
              <w:jc w:val="center"/>
              <w:rPr>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b w:val="1"/>
                <w:sz w:val="28"/>
                <w:szCs w:val="28"/>
              </w:rPr>
            </w:pPr>
            <w:r w:rsidDel="00000000" w:rsidR="00000000" w:rsidRPr="00000000">
              <w:rPr>
                <w:b w:val="1"/>
                <w:sz w:val="28"/>
                <w:szCs w:val="28"/>
                <w:rtl w:val="0"/>
              </w:rPr>
              <w:t xml:space="preserve">Attività Uno.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i w:val="1"/>
                <w:sz w:val="28"/>
                <w:szCs w:val="28"/>
              </w:rPr>
            </w:pPr>
            <w:r w:rsidDel="00000000" w:rsidR="00000000" w:rsidRPr="00000000">
              <w:rPr>
                <w:i w:val="1"/>
                <w:sz w:val="28"/>
                <w:szCs w:val="28"/>
                <w:rtl w:val="0"/>
              </w:rPr>
              <w:t xml:space="preserve">Lessico. Esplorazione delle parole chiave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b w:val="1"/>
                <w:sz w:val="28"/>
                <w:szCs w:val="28"/>
              </w:rPr>
            </w:pPr>
            <w:r w:rsidDel="00000000" w:rsidR="00000000" w:rsidRPr="00000000">
              <w:rPr>
                <w:b w:val="1"/>
                <w:sz w:val="28"/>
                <w:szCs w:val="28"/>
                <w:rtl w:val="0"/>
              </w:rPr>
              <w:t xml:space="preserve">Attività Due.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i w:val="1"/>
                <w:sz w:val="28"/>
                <w:szCs w:val="28"/>
              </w:rPr>
            </w:pPr>
            <w:r w:rsidDel="00000000" w:rsidR="00000000" w:rsidRPr="00000000">
              <w:rPr>
                <w:i w:val="1"/>
                <w:sz w:val="28"/>
                <w:szCs w:val="28"/>
                <w:rtl w:val="0"/>
              </w:rPr>
              <w:t xml:space="preserve">Comprensione. Vero o Falso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b w:val="1"/>
                <w:sz w:val="28"/>
                <w:szCs w:val="28"/>
              </w:rPr>
            </w:pPr>
            <w:r w:rsidDel="00000000" w:rsidR="00000000" w:rsidRPr="00000000">
              <w:rPr>
                <w:b w:val="1"/>
                <w:sz w:val="28"/>
                <w:szCs w:val="28"/>
                <w:rtl w:val="0"/>
              </w:rPr>
              <w:t xml:space="preserve">Attività Tre.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i w:val="1"/>
                <w:sz w:val="28"/>
                <w:szCs w:val="28"/>
              </w:rPr>
            </w:pPr>
            <w:r w:rsidDel="00000000" w:rsidR="00000000" w:rsidRPr="00000000">
              <w:rPr>
                <w:i w:val="1"/>
                <w:sz w:val="28"/>
                <w:szCs w:val="28"/>
                <w:rtl w:val="0"/>
              </w:rPr>
              <w:t xml:space="preserve">Discussione.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b w:val="1"/>
                <w:sz w:val="28"/>
                <w:szCs w:val="28"/>
              </w:rPr>
            </w:pPr>
            <w:r w:rsidDel="00000000" w:rsidR="00000000" w:rsidRPr="00000000">
              <w:rPr>
                <w:b w:val="1"/>
                <w:sz w:val="28"/>
                <w:szCs w:val="28"/>
                <w:rtl w:val="0"/>
              </w:rPr>
              <w:t xml:space="preserve">Attività Quattro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i w:val="1"/>
                <w:sz w:val="28"/>
                <w:szCs w:val="28"/>
              </w:rPr>
            </w:pPr>
            <w:r w:rsidDel="00000000" w:rsidR="00000000" w:rsidRPr="00000000">
              <w:rPr>
                <w:i w:val="1"/>
                <w:sz w:val="28"/>
                <w:szCs w:val="28"/>
                <w:rtl w:val="0"/>
              </w:rPr>
              <w:t xml:space="preserve">Partendo da due articoli, preparare un presentazione per sostenere la candidatura della propria città.</w:t>
            </w:r>
          </w:p>
        </w:tc>
      </w:tr>
    </w:tbl>
    <w:p w:rsidR="00000000" w:rsidDel="00000000" w:rsidP="00000000" w:rsidRDefault="00000000" w:rsidRPr="00000000" w14:paraId="00000021">
      <w:pPr>
        <w:pStyle w:val="Title"/>
        <w:rPr/>
      </w:pPr>
      <w:bookmarkStart w:colFirst="0" w:colLast="0" w:name="_lnvxmdvyi6tw" w:id="0"/>
      <w:bookmarkEnd w:id="0"/>
      <w:r w:rsidDel="00000000" w:rsidR="00000000" w:rsidRPr="00000000">
        <w:rPr>
          <w:rtl w:val="0"/>
        </w:rPr>
      </w:r>
    </w:p>
    <w:p w:rsidR="00000000" w:rsidDel="00000000" w:rsidP="00000000" w:rsidRDefault="00000000" w:rsidRPr="00000000" w14:paraId="00000022">
      <w:pPr>
        <w:pStyle w:val="Heading1"/>
        <w:spacing w:before="480" w:lineRule="auto"/>
        <w:rPr/>
      </w:pPr>
      <w:bookmarkStart w:colFirst="0" w:colLast="0" w:name="_sce00gylx9pe" w:id="1"/>
      <w:bookmarkEnd w:id="1"/>
      <w:r w:rsidDel="00000000" w:rsidR="00000000" w:rsidRPr="00000000">
        <w:rPr>
          <w:rtl w:val="0"/>
        </w:rPr>
      </w:r>
    </w:p>
    <w:p w:rsidR="00000000" w:rsidDel="00000000" w:rsidP="00000000" w:rsidRDefault="00000000" w:rsidRPr="00000000" w14:paraId="00000023">
      <w:pPr>
        <w:pStyle w:val="Heading1"/>
        <w:spacing w:before="480" w:lineRule="auto"/>
        <w:rPr/>
      </w:pPr>
      <w:bookmarkStart w:colFirst="0" w:colLast="0" w:name="_fhxenmlutfoy" w:id="2"/>
      <w:bookmarkEnd w:id="2"/>
      <w:r w:rsidDel="00000000" w:rsidR="00000000" w:rsidRPr="00000000">
        <w:rPr>
          <w:rtl w:val="0"/>
        </w:rPr>
      </w:r>
    </w:p>
    <w:p w:rsidR="00000000" w:rsidDel="00000000" w:rsidP="00000000" w:rsidRDefault="00000000" w:rsidRPr="00000000" w14:paraId="00000024">
      <w:pPr>
        <w:pStyle w:val="Heading1"/>
        <w:spacing w:before="480" w:lineRule="auto"/>
        <w:rPr/>
      </w:pPr>
      <w:bookmarkStart w:colFirst="0" w:colLast="0" w:name="_i8z4p48r76j" w:id="3"/>
      <w:bookmarkEnd w:id="3"/>
      <w:r w:rsidDel="00000000" w:rsidR="00000000" w:rsidRPr="00000000">
        <w:rPr>
          <w:rtl w:val="0"/>
        </w:rPr>
      </w:r>
    </w:p>
    <w:p w:rsidR="00000000" w:rsidDel="00000000" w:rsidP="00000000" w:rsidRDefault="00000000" w:rsidRPr="00000000" w14:paraId="00000025">
      <w:pPr>
        <w:pStyle w:val="Heading1"/>
        <w:spacing w:before="480" w:lineRule="auto"/>
        <w:rPr/>
      </w:pPr>
      <w:bookmarkStart w:colFirst="0" w:colLast="0" w:name="_7vqzgt5w2b92" w:id="4"/>
      <w:bookmarkEnd w:id="4"/>
      <w:r w:rsidDel="00000000" w:rsidR="00000000" w:rsidRPr="00000000">
        <w:rPr>
          <w:rtl w:val="0"/>
        </w:rPr>
      </w:r>
    </w:p>
    <w:p w:rsidR="00000000" w:rsidDel="00000000" w:rsidP="00000000" w:rsidRDefault="00000000" w:rsidRPr="00000000" w14:paraId="00000026">
      <w:pPr>
        <w:pStyle w:val="Heading1"/>
        <w:spacing w:before="480" w:lineRule="auto"/>
        <w:rPr/>
      </w:pPr>
      <w:bookmarkStart w:colFirst="0" w:colLast="0" w:name="_47mrl0ennt39" w:id="5"/>
      <w:bookmarkEnd w:id="5"/>
      <w:r w:rsidDel="00000000" w:rsidR="00000000" w:rsidRPr="00000000">
        <w:rPr>
          <w:rtl w:val="0"/>
        </w:rPr>
      </w:r>
    </w:p>
    <w:p w:rsidR="00000000" w:rsidDel="00000000" w:rsidP="00000000" w:rsidRDefault="00000000" w:rsidRPr="00000000" w14:paraId="00000027">
      <w:pPr>
        <w:pStyle w:val="Heading1"/>
        <w:spacing w:before="480" w:lineRule="auto"/>
        <w:rPr/>
      </w:pPr>
      <w:bookmarkStart w:colFirst="0" w:colLast="0" w:name="_1j9mj82i8xtz" w:id="6"/>
      <w:bookmarkEnd w:id="6"/>
      <w:r w:rsidDel="00000000" w:rsidR="00000000" w:rsidRPr="00000000">
        <w:rPr>
          <w:rtl w:val="0"/>
        </w:rPr>
      </w:r>
    </w:p>
    <w:p w:rsidR="00000000" w:rsidDel="00000000" w:rsidP="00000000" w:rsidRDefault="00000000" w:rsidRPr="00000000" w14:paraId="00000028">
      <w:pPr>
        <w:pStyle w:val="Heading1"/>
        <w:spacing w:before="480" w:lineRule="auto"/>
        <w:rPr/>
      </w:pPr>
      <w:bookmarkStart w:colFirst="0" w:colLast="0" w:name="_yuf5jefsrzpr" w:id="7"/>
      <w:bookmarkEnd w:id="7"/>
      <w:r w:rsidDel="00000000" w:rsidR="00000000" w:rsidRPr="00000000">
        <w:rPr>
          <w:rtl w:val="0"/>
        </w:rPr>
      </w:r>
    </w:p>
    <w:p w:rsidR="00000000" w:rsidDel="00000000" w:rsidP="00000000" w:rsidRDefault="00000000" w:rsidRPr="00000000" w14:paraId="00000029">
      <w:pPr>
        <w:pStyle w:val="Heading1"/>
        <w:spacing w:before="480" w:lineRule="auto"/>
        <w:rPr/>
      </w:pPr>
      <w:bookmarkStart w:colFirst="0" w:colLast="0" w:name="_9j1bza6qgwcu" w:id="8"/>
      <w:bookmarkEnd w:id="8"/>
      <w:r w:rsidDel="00000000" w:rsidR="00000000" w:rsidRPr="00000000">
        <w:rPr>
          <w:rtl w:val="0"/>
        </w:rPr>
      </w:r>
    </w:p>
    <w:p w:rsidR="00000000" w:rsidDel="00000000" w:rsidP="00000000" w:rsidRDefault="00000000" w:rsidRPr="00000000" w14:paraId="0000002A">
      <w:pPr>
        <w:pStyle w:val="Heading1"/>
        <w:spacing w:before="480" w:lineRule="auto"/>
        <w:rPr/>
      </w:pPr>
      <w:bookmarkStart w:colFirst="0" w:colLast="0" w:name="_4bl9hfyao9g" w:id="9"/>
      <w:bookmarkEnd w:id="9"/>
      <w:r w:rsidDel="00000000" w:rsidR="00000000" w:rsidRPr="00000000">
        <w:rPr>
          <w:rtl w:val="0"/>
        </w:rPr>
      </w:r>
    </w:p>
    <w:p w:rsidR="00000000" w:rsidDel="00000000" w:rsidP="00000000" w:rsidRDefault="00000000" w:rsidRPr="00000000" w14:paraId="0000002B">
      <w:pPr>
        <w:pStyle w:val="Heading1"/>
        <w:spacing w:before="480" w:lineRule="auto"/>
        <w:rPr/>
      </w:pPr>
      <w:bookmarkStart w:colFirst="0" w:colLast="0" w:name="_g5izwlif8guw" w:id="10"/>
      <w:bookmarkEnd w:id="10"/>
      <w:r w:rsidDel="00000000" w:rsidR="00000000" w:rsidRPr="00000000">
        <w:rPr>
          <w:rtl w:val="0"/>
        </w:rPr>
      </w:r>
    </w:p>
    <w:p w:rsidR="00000000" w:rsidDel="00000000" w:rsidP="00000000" w:rsidRDefault="00000000" w:rsidRPr="00000000" w14:paraId="0000002C">
      <w:pPr>
        <w:pStyle w:val="Heading1"/>
        <w:spacing w:before="480" w:lineRule="auto"/>
        <w:rPr/>
      </w:pPr>
      <w:bookmarkStart w:colFirst="0" w:colLast="0" w:name="_9v69i7fychga" w:id="11"/>
      <w:bookmarkEnd w:id="11"/>
      <w:r w:rsidDel="00000000" w:rsidR="00000000" w:rsidRPr="00000000">
        <w:rPr>
          <w:rtl w:val="0"/>
        </w:rPr>
      </w:r>
    </w:p>
    <w:p w:rsidR="00000000" w:rsidDel="00000000" w:rsidP="00000000" w:rsidRDefault="00000000" w:rsidRPr="00000000" w14:paraId="0000002D">
      <w:pPr>
        <w:pStyle w:val="Heading1"/>
        <w:spacing w:before="480" w:lineRule="auto"/>
        <w:rPr/>
      </w:pPr>
      <w:bookmarkStart w:colFirst="0" w:colLast="0" w:name="_2lu71fek1of" w:id="12"/>
      <w:bookmarkEnd w:id="12"/>
      <w:r w:rsidDel="00000000" w:rsidR="00000000" w:rsidRPr="00000000">
        <w:rPr>
          <w:rtl w:val="0"/>
        </w:rPr>
      </w:r>
    </w:p>
    <w:p w:rsidR="00000000" w:rsidDel="00000000" w:rsidP="00000000" w:rsidRDefault="00000000" w:rsidRPr="00000000" w14:paraId="0000002E">
      <w:pPr>
        <w:pStyle w:val="Heading1"/>
        <w:spacing w:before="480" w:lineRule="auto"/>
        <w:rPr/>
      </w:pPr>
      <w:bookmarkStart w:colFirst="0" w:colLast="0" w:name="_ie06nxvo7c27" w:id="13"/>
      <w:bookmarkEnd w:id="13"/>
      <w:r w:rsidDel="00000000" w:rsidR="00000000" w:rsidRPr="00000000">
        <w:rPr>
          <w:rtl w:val="0"/>
        </w:rPr>
      </w:r>
    </w:p>
    <w:p w:rsidR="00000000" w:rsidDel="00000000" w:rsidP="00000000" w:rsidRDefault="00000000" w:rsidRPr="00000000" w14:paraId="0000002F">
      <w:pPr>
        <w:pStyle w:val="Heading1"/>
        <w:spacing w:before="480" w:lineRule="auto"/>
        <w:rPr/>
      </w:pPr>
      <w:bookmarkStart w:colFirst="0" w:colLast="0" w:name="_p5l66z65onze" w:id="14"/>
      <w:bookmarkEnd w:id="14"/>
      <w:r w:rsidDel="00000000" w:rsidR="00000000" w:rsidRPr="00000000">
        <w:rPr>
          <w:rtl w:val="0"/>
        </w:rPr>
        <w:t xml:space="preserve">Attività Uno: Lessico</w:t>
      </w:r>
    </w:p>
    <w:p w:rsidR="00000000" w:rsidDel="00000000" w:rsidP="00000000" w:rsidRDefault="00000000" w:rsidRPr="00000000" w14:paraId="00000030">
      <w:pPr>
        <w:spacing w:before="480" w:lineRule="auto"/>
        <w:rPr>
          <w:sz w:val="28"/>
          <w:szCs w:val="28"/>
        </w:rPr>
      </w:pPr>
      <w:r w:rsidDel="00000000" w:rsidR="00000000" w:rsidRPr="00000000">
        <w:rPr>
          <w:sz w:val="28"/>
          <w:szCs w:val="28"/>
          <w:rtl w:val="0"/>
        </w:rPr>
        <w:t xml:space="preserve">Leggi il testo e cerca le parole corrispondenti alle definizioni nella tabella.</w:t>
      </w:r>
    </w:p>
    <w:p w:rsidR="00000000" w:rsidDel="00000000" w:rsidP="00000000" w:rsidRDefault="00000000" w:rsidRPr="00000000" w14:paraId="00000031">
      <w:pPr>
        <w:spacing w:before="480" w:lineRule="auto"/>
        <w:rPr>
          <w:sz w:val="28"/>
          <w:szCs w:val="28"/>
        </w:rPr>
      </w:pPr>
      <w:r w:rsidDel="00000000" w:rsidR="00000000" w:rsidRPr="00000000">
        <w:rPr>
          <w:rtl w:val="0"/>
        </w:rPr>
      </w:r>
    </w:p>
    <w:tbl>
      <w:tblPr>
        <w:tblStyle w:val="Table3"/>
        <w:tblW w:w="90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0"/>
        <w:gridCol w:w="6630"/>
        <w:tblGridChange w:id="0">
          <w:tblGrid>
            <w:gridCol w:w="2400"/>
            <w:gridCol w:w="6630"/>
          </w:tblGrid>
        </w:tblGridChange>
      </w:tblGrid>
      <w:tr>
        <w:trPr>
          <w:cantSplit w:val="0"/>
          <w:trHeight w:val="695" w:hRule="atLeast"/>
          <w:tblHeader w:val="0"/>
        </w:trPr>
        <w:tc>
          <w:tcPr>
            <w:tcBorders>
              <w:top w:color="e3e3e3" w:space="0" w:sz="4" w:val="single"/>
              <w:left w:color="e3e3e3" w:space="0" w:sz="4" w:val="single"/>
              <w:bottom w:color="e3e3e3" w:space="0" w:sz="4"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32">
            <w:pPr>
              <w:spacing w:before="0" w:line="240" w:lineRule="auto"/>
              <w:jc w:val="center"/>
              <w:rPr>
                <w:b w:val="1"/>
                <w:sz w:val="28"/>
                <w:szCs w:val="28"/>
              </w:rPr>
            </w:pPr>
            <w:r w:rsidDel="00000000" w:rsidR="00000000" w:rsidRPr="00000000">
              <w:rPr>
                <w:b w:val="1"/>
                <w:sz w:val="28"/>
                <w:szCs w:val="28"/>
                <w:rtl w:val="0"/>
              </w:rPr>
              <w:t xml:space="preserve">Parola</w:t>
            </w:r>
          </w:p>
        </w:tc>
        <w:tc>
          <w:tcPr>
            <w:tcBorders>
              <w:top w:color="e3e3e3" w:space="0" w:sz="4" w:val="single"/>
              <w:left w:color="e3e3e3" w:space="0" w:sz="4" w:val="single"/>
              <w:bottom w:color="e3e3e3" w:space="0" w:sz="4" w:val="single"/>
              <w:right w:color="e3e3e3" w:space="0" w:sz="4" w:val="single"/>
            </w:tcBorders>
            <w:tcMar>
              <w:top w:w="100.0" w:type="dxa"/>
              <w:left w:w="100.0" w:type="dxa"/>
              <w:bottom w:w="100.0" w:type="dxa"/>
              <w:right w:w="100.0" w:type="dxa"/>
            </w:tcMar>
            <w:vAlign w:val="bottom"/>
          </w:tcPr>
          <w:p w:rsidR="00000000" w:rsidDel="00000000" w:rsidP="00000000" w:rsidRDefault="00000000" w:rsidRPr="00000000" w14:paraId="00000033">
            <w:pPr>
              <w:spacing w:before="0" w:line="240" w:lineRule="auto"/>
              <w:jc w:val="center"/>
              <w:rPr>
                <w:b w:val="1"/>
                <w:sz w:val="28"/>
                <w:szCs w:val="28"/>
              </w:rPr>
            </w:pPr>
            <w:r w:rsidDel="00000000" w:rsidR="00000000" w:rsidRPr="00000000">
              <w:rPr>
                <w:b w:val="1"/>
                <w:sz w:val="28"/>
                <w:szCs w:val="28"/>
                <w:rtl w:val="0"/>
              </w:rPr>
              <w:t xml:space="preserve">Definizione</w:t>
            </w:r>
          </w:p>
        </w:tc>
      </w:tr>
      <w:tr>
        <w:trPr>
          <w:cantSplit w:val="0"/>
          <w:trHeight w:val="1055" w:hRule="atLeast"/>
          <w:tblHeader w:val="0"/>
        </w:trPr>
        <w:tc>
          <w:tcPr>
            <w:tcBorders>
              <w:top w:color="000000" w:space="0" w:sz="0" w:val="nil"/>
              <w:left w:color="e3e3e3" w:space="0" w:sz="4" w:val="single"/>
              <w:bottom w:color="e3e3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34">
            <w:pPr>
              <w:spacing w:before="0" w:line="240" w:lineRule="auto"/>
              <w:rPr>
                <w:sz w:val="28"/>
                <w:szCs w:val="28"/>
              </w:rPr>
            </w:pPr>
            <w:r w:rsidDel="00000000" w:rsidR="00000000" w:rsidRPr="00000000">
              <w:rPr>
                <w:rtl w:val="0"/>
              </w:rPr>
            </w:r>
          </w:p>
        </w:tc>
        <w:tc>
          <w:tcPr>
            <w:tcBorders>
              <w:top w:color="000000" w:space="0" w:sz="0" w:val="nil"/>
              <w:left w:color="e3e3e3" w:space="0" w:sz="4" w:val="single"/>
              <w:bottom w:color="e3e3e3" w:space="0" w:sz="4" w:val="single"/>
              <w:right w:color="e3e3e3" w:space="0" w:sz="4" w:val="single"/>
            </w:tcBorders>
            <w:tcMar>
              <w:top w:w="100.0" w:type="dxa"/>
              <w:left w:w="100.0" w:type="dxa"/>
              <w:bottom w:w="100.0" w:type="dxa"/>
              <w:right w:w="100.0" w:type="dxa"/>
            </w:tcMar>
            <w:vAlign w:val="center"/>
          </w:tcPr>
          <w:p w:rsidR="00000000" w:rsidDel="00000000" w:rsidP="00000000" w:rsidRDefault="00000000" w:rsidRPr="00000000" w14:paraId="00000035">
            <w:pPr>
              <w:spacing w:before="0" w:line="240" w:lineRule="auto"/>
              <w:rPr>
                <w:sz w:val="28"/>
                <w:szCs w:val="28"/>
              </w:rPr>
            </w:pPr>
            <w:r w:rsidDel="00000000" w:rsidR="00000000" w:rsidRPr="00000000">
              <w:rPr>
                <w:sz w:val="28"/>
                <w:szCs w:val="28"/>
                <w:rtl w:val="0"/>
              </w:rPr>
              <w:t xml:space="preserve">Una competizione o una lotta tra due o più parti per raggiungere un obiettivo.</w:t>
            </w:r>
          </w:p>
        </w:tc>
      </w:tr>
      <w:tr>
        <w:trPr>
          <w:cantSplit w:val="0"/>
          <w:trHeight w:val="695" w:hRule="atLeast"/>
          <w:tblHeader w:val="0"/>
        </w:trPr>
        <w:tc>
          <w:tcPr>
            <w:tcBorders>
              <w:top w:color="000000" w:space="0" w:sz="0" w:val="nil"/>
              <w:left w:color="e3e3e3" w:space="0" w:sz="4" w:val="single"/>
              <w:bottom w:color="e3e3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36">
            <w:pPr>
              <w:spacing w:before="0" w:line="240" w:lineRule="auto"/>
              <w:rPr>
                <w:sz w:val="28"/>
                <w:szCs w:val="28"/>
              </w:rPr>
            </w:pPr>
            <w:r w:rsidDel="00000000" w:rsidR="00000000" w:rsidRPr="00000000">
              <w:rPr>
                <w:rtl w:val="0"/>
              </w:rPr>
            </w:r>
          </w:p>
        </w:tc>
        <w:tc>
          <w:tcPr>
            <w:tcBorders>
              <w:top w:color="000000" w:space="0" w:sz="0" w:val="nil"/>
              <w:left w:color="e3e3e3" w:space="0" w:sz="4" w:val="single"/>
              <w:bottom w:color="e3e3e3" w:space="0" w:sz="4" w:val="single"/>
              <w:right w:color="e3e3e3" w:space="0" w:sz="4" w:val="single"/>
            </w:tcBorders>
            <w:tcMar>
              <w:top w:w="100.0" w:type="dxa"/>
              <w:left w:w="100.0" w:type="dxa"/>
              <w:bottom w:w="100.0" w:type="dxa"/>
              <w:right w:w="100.0" w:type="dxa"/>
            </w:tcMar>
            <w:vAlign w:val="center"/>
          </w:tcPr>
          <w:p w:rsidR="00000000" w:rsidDel="00000000" w:rsidP="00000000" w:rsidRDefault="00000000" w:rsidRPr="00000000" w14:paraId="00000037">
            <w:pPr>
              <w:spacing w:before="0" w:line="240" w:lineRule="auto"/>
              <w:rPr>
                <w:sz w:val="28"/>
                <w:szCs w:val="28"/>
              </w:rPr>
            </w:pPr>
            <w:r w:rsidDel="00000000" w:rsidR="00000000" w:rsidRPr="00000000">
              <w:rPr>
                <w:sz w:val="28"/>
                <w:szCs w:val="28"/>
                <w:rtl w:val="0"/>
              </w:rPr>
              <w:t xml:space="preserve">Molto determinato e preparato per affrontare una sfida o una competizione.</w:t>
            </w:r>
          </w:p>
        </w:tc>
      </w:tr>
      <w:tr>
        <w:trPr>
          <w:cantSplit w:val="0"/>
          <w:trHeight w:val="695" w:hRule="atLeast"/>
          <w:tblHeader w:val="0"/>
        </w:trPr>
        <w:tc>
          <w:tcPr>
            <w:tcBorders>
              <w:top w:color="000000" w:space="0" w:sz="0" w:val="nil"/>
              <w:left w:color="e3e3e3" w:space="0" w:sz="4" w:val="single"/>
              <w:bottom w:color="e3e3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38">
            <w:pPr>
              <w:spacing w:before="0" w:line="240" w:lineRule="auto"/>
              <w:rPr>
                <w:sz w:val="28"/>
                <w:szCs w:val="28"/>
              </w:rPr>
            </w:pPr>
            <w:r w:rsidDel="00000000" w:rsidR="00000000" w:rsidRPr="00000000">
              <w:rPr>
                <w:rtl w:val="0"/>
              </w:rPr>
            </w:r>
          </w:p>
        </w:tc>
        <w:tc>
          <w:tcPr>
            <w:tcBorders>
              <w:top w:color="000000" w:space="0" w:sz="0" w:val="nil"/>
              <w:left w:color="e3e3e3" w:space="0" w:sz="4" w:val="single"/>
              <w:bottom w:color="e3e3e3" w:space="0" w:sz="4" w:val="single"/>
              <w:right w:color="e3e3e3" w:space="0" w:sz="4" w:val="single"/>
            </w:tcBorders>
            <w:tcMar>
              <w:top w:w="100.0" w:type="dxa"/>
              <w:left w:w="100.0" w:type="dxa"/>
              <w:bottom w:w="100.0" w:type="dxa"/>
              <w:right w:w="100.0" w:type="dxa"/>
            </w:tcMar>
            <w:vAlign w:val="center"/>
          </w:tcPr>
          <w:p w:rsidR="00000000" w:rsidDel="00000000" w:rsidP="00000000" w:rsidRDefault="00000000" w:rsidRPr="00000000" w14:paraId="00000039">
            <w:pPr>
              <w:spacing w:before="0" w:line="240" w:lineRule="auto"/>
              <w:rPr>
                <w:sz w:val="28"/>
                <w:szCs w:val="28"/>
              </w:rPr>
            </w:pPr>
            <w:r w:rsidDel="00000000" w:rsidR="00000000" w:rsidRPr="00000000">
              <w:rPr>
                <w:sz w:val="28"/>
                <w:szCs w:val="28"/>
                <w:rtl w:val="0"/>
              </w:rPr>
              <w:t xml:space="preserve">Un punto cruciale o un centro importante in una rete o un sistema.</w:t>
            </w:r>
          </w:p>
        </w:tc>
      </w:tr>
      <w:tr>
        <w:trPr>
          <w:cantSplit w:val="0"/>
          <w:trHeight w:val="695" w:hRule="atLeast"/>
          <w:tblHeader w:val="0"/>
        </w:trPr>
        <w:tc>
          <w:tcPr>
            <w:tcBorders>
              <w:top w:color="000000" w:space="0" w:sz="0" w:val="nil"/>
              <w:left w:color="e3e3e3" w:space="0" w:sz="4" w:val="single"/>
              <w:bottom w:color="e3e3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3A">
            <w:pPr>
              <w:spacing w:before="0" w:line="240" w:lineRule="auto"/>
              <w:rPr>
                <w:sz w:val="28"/>
                <w:szCs w:val="28"/>
              </w:rPr>
            </w:pPr>
            <w:r w:rsidDel="00000000" w:rsidR="00000000" w:rsidRPr="00000000">
              <w:rPr>
                <w:rtl w:val="0"/>
              </w:rPr>
            </w:r>
          </w:p>
        </w:tc>
        <w:tc>
          <w:tcPr>
            <w:tcBorders>
              <w:top w:color="000000" w:space="0" w:sz="0" w:val="nil"/>
              <w:left w:color="e3e3e3" w:space="0" w:sz="4" w:val="single"/>
              <w:bottom w:color="e3e3e3" w:space="0" w:sz="4" w:val="single"/>
              <w:right w:color="e3e3e3" w:space="0" w:sz="4" w:val="single"/>
            </w:tcBorders>
            <w:tcMar>
              <w:top w:w="100.0" w:type="dxa"/>
              <w:left w:w="100.0" w:type="dxa"/>
              <w:bottom w:w="100.0" w:type="dxa"/>
              <w:right w:w="100.0" w:type="dxa"/>
            </w:tcMar>
            <w:vAlign w:val="center"/>
          </w:tcPr>
          <w:p w:rsidR="00000000" w:rsidDel="00000000" w:rsidP="00000000" w:rsidRDefault="00000000" w:rsidRPr="00000000" w14:paraId="0000003B">
            <w:pPr>
              <w:spacing w:before="0" w:line="240" w:lineRule="auto"/>
              <w:rPr>
                <w:sz w:val="28"/>
                <w:szCs w:val="28"/>
              </w:rPr>
            </w:pPr>
            <w:r w:rsidDel="00000000" w:rsidR="00000000" w:rsidRPr="00000000">
              <w:rPr>
                <w:sz w:val="28"/>
                <w:szCs w:val="28"/>
                <w:rtl w:val="0"/>
              </w:rPr>
              <w:t xml:space="preserve">Una sconfitta umiliante o una perdita significativa.</w:t>
            </w:r>
          </w:p>
        </w:tc>
      </w:tr>
      <w:tr>
        <w:trPr>
          <w:cantSplit w:val="0"/>
          <w:trHeight w:val="1055" w:hRule="atLeast"/>
          <w:tblHeader w:val="0"/>
        </w:trPr>
        <w:tc>
          <w:tcPr>
            <w:tcBorders>
              <w:top w:color="000000" w:space="0" w:sz="0" w:val="nil"/>
              <w:left w:color="e3e3e3" w:space="0" w:sz="4" w:val="single"/>
              <w:bottom w:color="e3e3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3C">
            <w:pPr>
              <w:spacing w:before="0" w:line="240" w:lineRule="auto"/>
              <w:rPr>
                <w:sz w:val="28"/>
                <w:szCs w:val="28"/>
              </w:rPr>
            </w:pPr>
            <w:r w:rsidDel="00000000" w:rsidR="00000000" w:rsidRPr="00000000">
              <w:rPr>
                <w:rtl w:val="0"/>
              </w:rPr>
            </w:r>
          </w:p>
        </w:tc>
        <w:tc>
          <w:tcPr>
            <w:tcBorders>
              <w:top w:color="000000" w:space="0" w:sz="0" w:val="nil"/>
              <w:left w:color="e3e3e3" w:space="0" w:sz="4" w:val="single"/>
              <w:bottom w:color="e3e3e3" w:space="0" w:sz="4" w:val="single"/>
              <w:right w:color="e3e3e3" w:space="0" w:sz="4" w:val="single"/>
            </w:tcBorders>
            <w:tcMar>
              <w:top w:w="100.0" w:type="dxa"/>
              <w:left w:w="100.0" w:type="dxa"/>
              <w:bottom w:w="100.0" w:type="dxa"/>
              <w:right w:w="100.0" w:type="dxa"/>
            </w:tcMar>
            <w:vAlign w:val="center"/>
          </w:tcPr>
          <w:p w:rsidR="00000000" w:rsidDel="00000000" w:rsidP="00000000" w:rsidRDefault="00000000" w:rsidRPr="00000000" w14:paraId="0000003D">
            <w:pPr>
              <w:spacing w:before="0" w:line="240" w:lineRule="auto"/>
              <w:rPr>
                <w:sz w:val="28"/>
                <w:szCs w:val="28"/>
              </w:rPr>
            </w:pPr>
            <w:r w:rsidDel="00000000" w:rsidR="00000000" w:rsidRPr="00000000">
              <w:rPr>
                <w:sz w:val="28"/>
                <w:szCs w:val="28"/>
                <w:rtl w:val="0"/>
              </w:rPr>
              <w:t xml:space="preserve">Un gruppo di persone inviate da un'organizzazione o un governo per rappresentare i loro interessi in una determinata situazione.</w:t>
            </w:r>
          </w:p>
        </w:tc>
      </w:tr>
      <w:tr>
        <w:trPr>
          <w:cantSplit w:val="0"/>
          <w:trHeight w:val="1055" w:hRule="atLeast"/>
          <w:tblHeader w:val="0"/>
        </w:trPr>
        <w:tc>
          <w:tcPr>
            <w:tcBorders>
              <w:top w:color="000000" w:space="0" w:sz="0" w:val="nil"/>
              <w:left w:color="e3e3e3" w:space="0" w:sz="4" w:val="single"/>
              <w:bottom w:color="e3e3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3E">
            <w:pPr>
              <w:spacing w:before="0" w:line="240" w:lineRule="auto"/>
              <w:rPr>
                <w:sz w:val="28"/>
                <w:szCs w:val="28"/>
              </w:rPr>
            </w:pPr>
            <w:r w:rsidDel="00000000" w:rsidR="00000000" w:rsidRPr="00000000">
              <w:rPr>
                <w:rtl w:val="0"/>
              </w:rPr>
            </w:r>
          </w:p>
        </w:tc>
        <w:tc>
          <w:tcPr>
            <w:tcBorders>
              <w:top w:color="000000" w:space="0" w:sz="0" w:val="nil"/>
              <w:left w:color="e3e3e3" w:space="0" w:sz="4" w:val="single"/>
              <w:bottom w:color="e3e3e3" w:space="0" w:sz="4" w:val="single"/>
              <w:right w:color="e3e3e3" w:space="0" w:sz="4" w:val="single"/>
            </w:tcBorders>
            <w:tcMar>
              <w:top w:w="100.0" w:type="dxa"/>
              <w:left w:w="100.0" w:type="dxa"/>
              <w:bottom w:w="100.0" w:type="dxa"/>
              <w:right w:w="100.0" w:type="dxa"/>
            </w:tcMar>
            <w:vAlign w:val="center"/>
          </w:tcPr>
          <w:p w:rsidR="00000000" w:rsidDel="00000000" w:rsidP="00000000" w:rsidRDefault="00000000" w:rsidRPr="00000000" w14:paraId="0000003F">
            <w:pPr>
              <w:spacing w:before="0" w:line="240" w:lineRule="auto"/>
              <w:rPr>
                <w:sz w:val="28"/>
                <w:szCs w:val="28"/>
              </w:rPr>
            </w:pPr>
            <w:r w:rsidDel="00000000" w:rsidR="00000000" w:rsidRPr="00000000">
              <w:rPr>
                <w:sz w:val="28"/>
                <w:szCs w:val="28"/>
                <w:rtl w:val="0"/>
              </w:rPr>
              <w:t xml:space="preserve">Sorveglianza, controllo o osservazione costante di qualcosa per garantirne la conformità o la sicurezza.</w:t>
            </w:r>
          </w:p>
        </w:tc>
      </w:tr>
      <w:tr>
        <w:trPr>
          <w:cantSplit w:val="0"/>
          <w:trHeight w:val="1055" w:hRule="atLeast"/>
          <w:tblHeader w:val="0"/>
        </w:trPr>
        <w:tc>
          <w:tcPr>
            <w:tcBorders>
              <w:top w:color="000000" w:space="0" w:sz="0" w:val="nil"/>
              <w:left w:color="e3e3e3" w:space="0" w:sz="4" w:val="single"/>
              <w:bottom w:color="e3e3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40">
            <w:pPr>
              <w:spacing w:before="0" w:line="240" w:lineRule="auto"/>
              <w:rPr>
                <w:sz w:val="28"/>
                <w:szCs w:val="28"/>
              </w:rPr>
            </w:pPr>
            <w:r w:rsidDel="00000000" w:rsidR="00000000" w:rsidRPr="00000000">
              <w:rPr>
                <w:rtl w:val="0"/>
              </w:rPr>
            </w:r>
          </w:p>
        </w:tc>
        <w:tc>
          <w:tcPr>
            <w:tcBorders>
              <w:top w:color="000000" w:space="0" w:sz="0" w:val="nil"/>
              <w:left w:color="e3e3e3" w:space="0" w:sz="4" w:val="single"/>
              <w:bottom w:color="e3e3e3" w:space="0" w:sz="4" w:val="single"/>
              <w:right w:color="e3e3e3" w:space="0" w:sz="4" w:val="single"/>
            </w:tcBorders>
            <w:tcMar>
              <w:top w:w="100.0" w:type="dxa"/>
              <w:left w:w="100.0" w:type="dxa"/>
              <w:bottom w:w="100.0" w:type="dxa"/>
              <w:right w:w="100.0" w:type="dxa"/>
            </w:tcMar>
            <w:vAlign w:val="center"/>
          </w:tcPr>
          <w:p w:rsidR="00000000" w:rsidDel="00000000" w:rsidP="00000000" w:rsidRDefault="00000000" w:rsidRPr="00000000" w14:paraId="00000041">
            <w:pPr>
              <w:spacing w:before="0" w:line="240" w:lineRule="auto"/>
              <w:rPr>
                <w:sz w:val="28"/>
                <w:szCs w:val="28"/>
              </w:rPr>
            </w:pPr>
            <w:r w:rsidDel="00000000" w:rsidR="00000000" w:rsidRPr="00000000">
              <w:rPr>
                <w:sz w:val="28"/>
                <w:szCs w:val="28"/>
                <w:rtl w:val="0"/>
              </w:rPr>
              <w:t xml:space="preserve">Attività illegali volte a ottenere guadagni finanziari attraverso comportamenti fraudolenti o illeciti all'interno del sistema finanziario.</w:t>
            </w:r>
          </w:p>
        </w:tc>
      </w:tr>
      <w:tr>
        <w:trPr>
          <w:cantSplit w:val="0"/>
          <w:trHeight w:val="695" w:hRule="atLeast"/>
          <w:tblHeader w:val="0"/>
        </w:trPr>
        <w:tc>
          <w:tcPr>
            <w:tcBorders>
              <w:top w:color="000000" w:space="0" w:sz="0" w:val="nil"/>
              <w:left w:color="e3e3e3" w:space="0" w:sz="4" w:val="single"/>
              <w:bottom w:color="e3e3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42">
            <w:pPr>
              <w:spacing w:before="0" w:line="240" w:lineRule="auto"/>
              <w:rPr>
                <w:sz w:val="28"/>
                <w:szCs w:val="28"/>
              </w:rPr>
            </w:pPr>
            <w:r w:rsidDel="00000000" w:rsidR="00000000" w:rsidRPr="00000000">
              <w:rPr>
                <w:rtl w:val="0"/>
              </w:rPr>
            </w:r>
          </w:p>
        </w:tc>
        <w:tc>
          <w:tcPr>
            <w:tcBorders>
              <w:top w:color="000000" w:space="0" w:sz="0" w:val="nil"/>
              <w:left w:color="e3e3e3" w:space="0" w:sz="4" w:val="single"/>
              <w:bottom w:color="e3e3e3" w:space="0" w:sz="4" w:val="single"/>
              <w:right w:color="e3e3e3" w:space="0" w:sz="4" w:val="single"/>
            </w:tcBorders>
            <w:tcMar>
              <w:top w:w="100.0" w:type="dxa"/>
              <w:left w:w="100.0" w:type="dxa"/>
              <w:bottom w:w="100.0" w:type="dxa"/>
              <w:right w:w="100.0" w:type="dxa"/>
            </w:tcMar>
            <w:vAlign w:val="center"/>
          </w:tcPr>
          <w:p w:rsidR="00000000" w:rsidDel="00000000" w:rsidP="00000000" w:rsidRDefault="00000000" w:rsidRPr="00000000" w14:paraId="00000043">
            <w:pPr>
              <w:spacing w:before="0" w:line="240" w:lineRule="auto"/>
              <w:rPr>
                <w:sz w:val="28"/>
                <w:szCs w:val="28"/>
              </w:rPr>
            </w:pPr>
            <w:r w:rsidDel="00000000" w:rsidR="00000000" w:rsidRPr="00000000">
              <w:rPr>
                <w:sz w:val="28"/>
                <w:szCs w:val="28"/>
                <w:rtl w:val="0"/>
              </w:rPr>
              <w:t xml:space="preserve">La qualità di essere onesto, corretto e coerente nei principi e nelle azioni.</w:t>
            </w:r>
          </w:p>
        </w:tc>
      </w:tr>
    </w:tbl>
    <w:p w:rsidR="00000000" w:rsidDel="00000000" w:rsidP="00000000" w:rsidRDefault="00000000" w:rsidRPr="00000000" w14:paraId="00000044">
      <w:pPr>
        <w:spacing w:before="480" w:line="240" w:lineRule="auto"/>
        <w:rPr>
          <w:sz w:val="28"/>
          <w:szCs w:val="28"/>
        </w:rPr>
      </w:pPr>
      <w:r w:rsidDel="00000000" w:rsidR="00000000" w:rsidRPr="00000000">
        <w:rPr>
          <w:rtl w:val="0"/>
        </w:rPr>
      </w:r>
    </w:p>
    <w:p w:rsidR="00000000" w:rsidDel="00000000" w:rsidP="00000000" w:rsidRDefault="00000000" w:rsidRPr="00000000" w14:paraId="00000045">
      <w:pPr>
        <w:keepNext w:val="0"/>
        <w:keepLines w:val="0"/>
        <w:spacing w:before="480" w:line="240" w:lineRule="auto"/>
        <w:rPr>
          <w:sz w:val="28"/>
          <w:szCs w:val="28"/>
        </w:rPr>
      </w:pPr>
      <w:r w:rsidDel="00000000" w:rsidR="00000000" w:rsidRPr="00000000">
        <w:rPr>
          <w:rtl w:val="0"/>
        </w:rPr>
      </w:r>
    </w:p>
    <w:p w:rsidR="00000000" w:rsidDel="00000000" w:rsidP="00000000" w:rsidRDefault="00000000" w:rsidRPr="00000000" w14:paraId="00000046">
      <w:pPr>
        <w:keepNext w:val="0"/>
        <w:keepLines w:val="0"/>
        <w:spacing w:before="480" w:line="240" w:lineRule="auto"/>
        <w:rPr>
          <w:sz w:val="28"/>
          <w:szCs w:val="28"/>
        </w:rPr>
      </w:pPr>
      <w:r w:rsidDel="00000000" w:rsidR="00000000" w:rsidRPr="00000000">
        <w:rPr>
          <w:rtl w:val="0"/>
        </w:rPr>
      </w:r>
    </w:p>
    <w:p w:rsidR="00000000" w:rsidDel="00000000" w:rsidP="00000000" w:rsidRDefault="00000000" w:rsidRPr="00000000" w14:paraId="00000047">
      <w:pPr>
        <w:pStyle w:val="Heading1"/>
        <w:keepNext w:val="0"/>
        <w:keepLines w:val="0"/>
        <w:spacing w:before="480" w:lineRule="auto"/>
        <w:rPr/>
      </w:pPr>
      <w:bookmarkStart w:colFirst="0" w:colLast="0" w:name="_a2sybm7cu335" w:id="15"/>
      <w:bookmarkEnd w:id="15"/>
      <w:r w:rsidDel="00000000" w:rsidR="00000000" w:rsidRPr="00000000">
        <w:rPr>
          <w:rtl w:val="0"/>
        </w:rPr>
        <w:t xml:space="preserve">Attività Due. Comprensione. </w:t>
      </w:r>
      <w:r w:rsidDel="00000000" w:rsidR="00000000" w:rsidRPr="00000000">
        <w:rPr>
          <w:rtl w:val="0"/>
        </w:rPr>
        <w:t xml:space="preserve">Vero o Falso</w:t>
      </w:r>
    </w:p>
    <w:p w:rsidR="00000000" w:rsidDel="00000000" w:rsidP="00000000" w:rsidRDefault="00000000" w:rsidRPr="00000000" w14:paraId="00000048">
      <w:pPr>
        <w:rPr>
          <w:sz w:val="28"/>
          <w:szCs w:val="28"/>
        </w:rPr>
      </w:pPr>
      <w:r w:rsidDel="00000000" w:rsidR="00000000" w:rsidRPr="00000000">
        <w:rPr>
          <w:sz w:val="28"/>
          <w:szCs w:val="28"/>
          <w:rtl w:val="0"/>
        </w:rPr>
        <w:t xml:space="preserve">Rileggi il testo è indica se le seguenti affermazioni sono Vere o False.</w:t>
      </w:r>
    </w:p>
    <w:p w:rsidR="00000000" w:rsidDel="00000000" w:rsidP="00000000" w:rsidRDefault="00000000" w:rsidRPr="00000000" w14:paraId="00000049">
      <w:pPr>
        <w:rPr>
          <w:sz w:val="28"/>
          <w:szCs w:val="28"/>
        </w:rPr>
      </w:pPr>
      <w:r w:rsidDel="00000000" w:rsidR="00000000" w:rsidRPr="00000000">
        <w:rPr>
          <w:rtl w:val="0"/>
        </w:rPr>
      </w:r>
    </w:p>
    <w:tbl>
      <w:tblPr>
        <w:tblStyle w:val="Table4"/>
        <w:tblW w:w="92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
        <w:gridCol w:w="6885"/>
        <w:gridCol w:w="885"/>
        <w:gridCol w:w="930"/>
        <w:tblGridChange w:id="0">
          <w:tblGrid>
            <w:gridCol w:w="510"/>
            <w:gridCol w:w="6885"/>
            <w:gridCol w:w="885"/>
            <w:gridCol w:w="9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b w:val="1"/>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rPr>
                <w:sz w:val="28"/>
                <w:szCs w:val="28"/>
              </w:rPr>
            </w:pPr>
            <w:r w:rsidDel="00000000" w:rsidR="00000000" w:rsidRPr="00000000">
              <w:rPr>
                <w:sz w:val="28"/>
                <w:szCs w:val="28"/>
                <w:rtl w:val="0"/>
              </w:rPr>
              <w:t xml:space="preserve">Roma è stata eliminata durante le fasi finali del processo di selezione.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Vero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Falso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b w:val="1"/>
                <w:sz w:val="28"/>
                <w:szCs w:val="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Prima della scelta finale, i rappresentanti delle città in gara hanno presentato al Parlamento UE le motivazioni per le quali la città da loro amministrata sarebbe stata la scelta migliore.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Vero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Falso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b w:val="1"/>
                <w:sz w:val="28"/>
                <w:szCs w:val="2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Francoforte svilupperà il mercato del lavoro, per garantire servizi anche ai dipendenti delle istituzioni europee che non parlano il tedesco.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Vero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Falso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b w:val="1"/>
                <w:sz w:val="28"/>
                <w:szCs w:val="28"/>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Il soprannome </w:t>
            </w:r>
            <w:r w:rsidDel="00000000" w:rsidR="00000000" w:rsidRPr="00000000">
              <w:rPr>
                <w:i w:val="1"/>
                <w:sz w:val="28"/>
                <w:szCs w:val="28"/>
                <w:rtl w:val="0"/>
              </w:rPr>
              <w:t xml:space="preserve">Mainhattan</w:t>
            </w:r>
            <w:r w:rsidDel="00000000" w:rsidR="00000000" w:rsidRPr="00000000">
              <w:rPr>
                <w:sz w:val="28"/>
                <w:szCs w:val="28"/>
                <w:rtl w:val="0"/>
              </w:rPr>
              <w:t xml:space="preserve"> deriva dal nome in tedesco del fiume che scorre a Francoforte.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Vero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Falso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b w:val="1"/>
                <w:sz w:val="28"/>
                <w:szCs w:val="28"/>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I rappresentanti dei partiti politici italiani all’Europarlamento sono rimasti contrariati e hanno espresso il loro disappunto verso l’istituzione europea.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Vero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Falso</w:t>
            </w:r>
          </w:p>
        </w:tc>
      </w:tr>
    </w:tbl>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pStyle w:val="Title"/>
        <w:keepNext w:val="0"/>
        <w:keepLines w:val="0"/>
        <w:spacing w:before="480" w:lineRule="auto"/>
        <w:rPr/>
      </w:pPr>
      <w:bookmarkStart w:colFirst="0" w:colLast="0" w:name="_10sbvt8pn59b" w:id="16"/>
      <w:bookmarkEnd w:id="16"/>
      <w:r w:rsidDel="00000000" w:rsidR="00000000" w:rsidRPr="00000000">
        <w:rPr>
          <w:rtl w:val="0"/>
        </w:rPr>
      </w:r>
    </w:p>
    <w:p w:rsidR="00000000" w:rsidDel="00000000" w:rsidP="00000000" w:rsidRDefault="00000000" w:rsidRPr="00000000" w14:paraId="00000061">
      <w:pPr>
        <w:pStyle w:val="Title"/>
        <w:keepNext w:val="0"/>
        <w:keepLines w:val="0"/>
        <w:spacing w:before="480" w:lineRule="auto"/>
        <w:rPr/>
      </w:pPr>
      <w:bookmarkStart w:colFirst="0" w:colLast="0" w:name="_6dau6fjp98dq" w:id="17"/>
      <w:bookmarkEnd w:id="17"/>
      <w:r w:rsidDel="00000000" w:rsidR="00000000" w:rsidRPr="00000000">
        <w:rPr>
          <w:rtl w:val="0"/>
        </w:rPr>
      </w:r>
    </w:p>
    <w:p w:rsidR="00000000" w:rsidDel="00000000" w:rsidP="00000000" w:rsidRDefault="00000000" w:rsidRPr="00000000" w14:paraId="00000062">
      <w:pPr>
        <w:pStyle w:val="Title"/>
        <w:keepNext w:val="0"/>
        <w:keepLines w:val="0"/>
        <w:spacing w:before="480" w:lineRule="auto"/>
        <w:rPr/>
      </w:pPr>
      <w:bookmarkStart w:colFirst="0" w:colLast="0" w:name="_lgpm5mg6tzs8" w:id="18"/>
      <w:bookmarkEnd w:id="18"/>
      <w:r w:rsidDel="00000000" w:rsidR="00000000" w:rsidRPr="00000000">
        <w:rPr>
          <w:rtl w:val="0"/>
        </w:rPr>
      </w:r>
    </w:p>
    <w:p w:rsidR="00000000" w:rsidDel="00000000" w:rsidP="00000000" w:rsidRDefault="00000000" w:rsidRPr="00000000" w14:paraId="00000063">
      <w:pPr>
        <w:pStyle w:val="Title"/>
        <w:keepNext w:val="0"/>
        <w:keepLines w:val="0"/>
        <w:spacing w:before="480" w:lineRule="auto"/>
        <w:rPr/>
      </w:pPr>
      <w:bookmarkStart w:colFirst="0" w:colLast="0" w:name="_czoczfuho9i2" w:id="19"/>
      <w:bookmarkEnd w:id="19"/>
      <w:r w:rsidDel="00000000" w:rsidR="00000000" w:rsidRPr="00000000">
        <w:rPr>
          <w:rtl w:val="0"/>
        </w:rPr>
      </w:r>
    </w:p>
    <w:p w:rsidR="00000000" w:rsidDel="00000000" w:rsidP="00000000" w:rsidRDefault="00000000" w:rsidRPr="00000000" w14:paraId="00000064">
      <w:pPr>
        <w:pStyle w:val="Title"/>
        <w:keepNext w:val="0"/>
        <w:keepLines w:val="0"/>
        <w:spacing w:before="480" w:lineRule="auto"/>
        <w:rPr/>
      </w:pPr>
      <w:bookmarkStart w:colFirst="0" w:colLast="0" w:name="_f0b4bd02gej" w:id="20"/>
      <w:bookmarkEnd w:id="20"/>
      <w:r w:rsidDel="00000000" w:rsidR="00000000" w:rsidRPr="00000000">
        <w:rPr>
          <w:rtl w:val="0"/>
        </w:rPr>
      </w:r>
    </w:p>
    <w:p w:rsidR="00000000" w:rsidDel="00000000" w:rsidP="00000000" w:rsidRDefault="00000000" w:rsidRPr="00000000" w14:paraId="00000065">
      <w:pPr>
        <w:pStyle w:val="Title"/>
        <w:keepNext w:val="0"/>
        <w:keepLines w:val="0"/>
        <w:spacing w:before="480" w:lineRule="auto"/>
        <w:rPr/>
      </w:pPr>
      <w:bookmarkStart w:colFirst="0" w:colLast="0" w:name="_ldw7pbk9mizs" w:id="21"/>
      <w:bookmarkEnd w:id="21"/>
      <w:r w:rsidDel="00000000" w:rsidR="00000000" w:rsidRPr="00000000">
        <w:rPr>
          <w:rtl w:val="0"/>
        </w:rPr>
        <w:t xml:space="preserve">Francoforte, sede dell’agenzia europea per l’antiriciclaggio</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Sarà a Francoforte la sede dell’agenzia europea per l’antiriciclaggio.</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Città dell’Assia, cuore finanziario della Germania e dell’Europa, sede della Borsa, della BCE e dell’</w:t>
      </w:r>
      <w:hyperlink r:id="rId8">
        <w:r w:rsidDel="00000000" w:rsidR="00000000" w:rsidRPr="00000000">
          <w:rPr>
            <w:color w:val="1155cc"/>
            <w:sz w:val="28"/>
            <w:szCs w:val="28"/>
            <w:u w:val="single"/>
            <w:rtl w:val="0"/>
          </w:rPr>
          <w:t xml:space="preserve">Autorità Europea di Vigilanza assicurativa (Eiopa)</w:t>
        </w:r>
      </w:hyperlink>
      <w:r w:rsidDel="00000000" w:rsidR="00000000" w:rsidRPr="00000000">
        <w:rPr>
          <w:sz w:val="28"/>
          <w:szCs w:val="28"/>
          <w:rtl w:val="0"/>
        </w:rPr>
        <w:t xml:space="preserve">, Francoforte ha battuto le altre città candidate, tra cui Roma, in partita per buona parte delle complesse votazioni, rimanendo nella short list e arrivando quarta dopo Francoforte, Madrid e Parigi.</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Nove città contendenti</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Nove erano state le città a farsi avanti in una contesa durata mesi: oltre a Francoforte, Roma, Parigi e Madrid, c’erano anche Dublino, Vienna, Vilnius, Riga e Bruxelles.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Alcune settimane fa i rappresentanti dei governi e delle amministrazioni delle contendenti erano stati auditi nel Parlamento UE, e </w:t>
      </w:r>
      <w:hyperlink r:id="rId9">
        <w:r w:rsidDel="00000000" w:rsidR="00000000" w:rsidRPr="00000000">
          <w:rPr>
            <w:color w:val="1155cc"/>
            <w:sz w:val="28"/>
            <w:szCs w:val="28"/>
            <w:u w:val="single"/>
            <w:rtl w:val="0"/>
          </w:rPr>
          <w:t xml:space="preserve">lì l’intervento del sindaco di Roma Roberto Gualtieri aveva fatto un’ottima impressione</w:t>
        </w:r>
      </w:hyperlink>
      <w:r w:rsidDel="00000000" w:rsidR="00000000" w:rsidRPr="00000000">
        <w:rPr>
          <w:sz w:val="28"/>
          <w:szCs w:val="28"/>
          <w:rtl w:val="0"/>
        </w:rPr>
        <w:t xml:space="preserve"> agli occhi degli eurodeputati, ma non è bastato.</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Alla fine hanno prevalso il peso politico del governo tedesco di Olaf Scholz, che per l’AMLA ha già riservato tre edifici, e l’agguerritissimo ministro delle Finanze, Christian Lindner, che nell’ultimo incontro pubblico davanti agli eurodeputati aveva promesso di raddoppiare i finanziamenti pubblici dedicati alla nuova Autorità, portandoli da 10 a 20 milioni di euro, utili a coprire l’affitto nei primi anni.</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sz w:val="28"/>
          <w:szCs w:val="28"/>
        </w:rPr>
      </w:pPr>
      <w:r w:rsidDel="00000000" w:rsidR="00000000" w:rsidRPr="00000000">
        <w:rPr>
          <w:b w:val="1"/>
          <w:sz w:val="28"/>
          <w:szCs w:val="28"/>
          <w:rtl w:val="0"/>
        </w:rPr>
        <w:t xml:space="preserve">Francoforte, </w:t>
      </w:r>
      <w:r w:rsidDel="00000000" w:rsidR="00000000" w:rsidRPr="00000000">
        <w:rPr>
          <w:b w:val="1"/>
          <w:i w:val="1"/>
          <w:sz w:val="28"/>
          <w:szCs w:val="28"/>
          <w:rtl w:val="0"/>
        </w:rPr>
        <w:t xml:space="preserve">un centro della finanza ancora più forte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Tra i punti di forza evidenziati durante la presentazione di Francoforte come sede dell’Agenzia Europea per l’Antiriciclaggio non c’è soltanto la vicinanza con l’Eurotower e con le 280 banche che hanno sede nel grande snodo finanziario, ma anche un mercato del lavoro internazionale con servizi di assistenza in lingua inglese e scuole internazionali per i dipendenti.</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Tra i possibili edifici che svettano dal suggestivo skyline di</w:t>
      </w:r>
      <w:r w:rsidDel="00000000" w:rsidR="00000000" w:rsidRPr="00000000">
        <w:rPr>
          <w:i w:val="1"/>
          <w:sz w:val="28"/>
          <w:szCs w:val="28"/>
          <w:rtl w:val="0"/>
        </w:rPr>
        <w:t xml:space="preserve"> Mainhattan </w:t>
      </w:r>
      <w:r w:rsidDel="00000000" w:rsidR="00000000" w:rsidRPr="00000000">
        <w:rPr>
          <w:sz w:val="28"/>
          <w:szCs w:val="28"/>
          <w:rtl w:val="0"/>
        </w:rPr>
        <w:t xml:space="preserve">(che prende il nome dall’unione delle parole “Manhattan” e “Main”, il fiume che bagna Francoforte - Meno, in italiano - un gioco di parole per indicare l’insieme di grattacieli che costituiscono il paesaggio della città) </w:t>
      </w:r>
      <w:r w:rsidDel="00000000" w:rsidR="00000000" w:rsidRPr="00000000">
        <w:rPr>
          <w:i w:val="1"/>
          <w:sz w:val="28"/>
          <w:szCs w:val="28"/>
          <w:rtl w:val="0"/>
        </w:rPr>
        <w:t xml:space="preserve"> </w:t>
      </w:r>
      <w:r w:rsidDel="00000000" w:rsidR="00000000" w:rsidRPr="00000000">
        <w:rPr>
          <w:sz w:val="28"/>
          <w:szCs w:val="28"/>
          <w:rtl w:val="0"/>
        </w:rPr>
        <w:t xml:space="preserve">e che sono stati proposti dal governo tedesco come sede dell’AMLA ci sono la </w:t>
      </w:r>
      <w:r w:rsidDel="00000000" w:rsidR="00000000" w:rsidRPr="00000000">
        <w:rPr>
          <w:i w:val="1"/>
          <w:sz w:val="28"/>
          <w:szCs w:val="28"/>
          <w:rtl w:val="0"/>
        </w:rPr>
        <w:t xml:space="preserve">Torre 185</w:t>
      </w:r>
      <w:r w:rsidDel="00000000" w:rsidR="00000000" w:rsidRPr="00000000">
        <w:rPr>
          <w:sz w:val="28"/>
          <w:szCs w:val="28"/>
          <w:rtl w:val="0"/>
        </w:rPr>
        <w:t xml:space="preserve">, il </w:t>
      </w:r>
      <w:r w:rsidDel="00000000" w:rsidR="00000000" w:rsidRPr="00000000">
        <w:rPr>
          <w:i w:val="1"/>
          <w:sz w:val="28"/>
          <w:szCs w:val="28"/>
          <w:rtl w:val="0"/>
        </w:rPr>
        <w:t xml:space="preserve">Flow </w:t>
      </w:r>
      <w:r w:rsidDel="00000000" w:rsidR="00000000" w:rsidRPr="00000000">
        <w:rPr>
          <w:sz w:val="28"/>
          <w:szCs w:val="28"/>
          <w:rtl w:val="0"/>
        </w:rPr>
        <w:t xml:space="preserve">nel quartiere Gateway Gardens, e la</w:t>
      </w:r>
      <w:r w:rsidDel="00000000" w:rsidR="00000000" w:rsidRPr="00000000">
        <w:rPr>
          <w:i w:val="1"/>
          <w:sz w:val="28"/>
          <w:szCs w:val="28"/>
          <w:rtl w:val="0"/>
        </w:rPr>
        <w:t xml:space="preserve"> Torre della Fiera</w:t>
      </w:r>
      <w:r w:rsidDel="00000000" w:rsidR="00000000" w:rsidRPr="00000000">
        <w:rPr>
          <w:sz w:val="28"/>
          <w:szCs w:val="28"/>
          <w:rtl w:val="0"/>
        </w:rPr>
        <w:t xml:space="preserve">.</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Se Roma si fosse aggiudicata la competizione, la sede sarebbe stata presso </w:t>
      </w:r>
      <w:hyperlink r:id="rId10">
        <w:r w:rsidDel="00000000" w:rsidR="00000000" w:rsidRPr="00000000">
          <w:rPr>
            <w:color w:val="1155cc"/>
            <w:sz w:val="28"/>
            <w:szCs w:val="28"/>
            <w:u w:val="single"/>
            <w:rtl w:val="0"/>
          </w:rPr>
          <w:t xml:space="preserve">le Torri Ligini nel quartiere dell’EUR.</w:t>
        </w:r>
      </w:hyperlink>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Mentre il Cancelliere Scholz ha esultato: «</w:t>
      </w:r>
      <w:r w:rsidDel="00000000" w:rsidR="00000000" w:rsidRPr="00000000">
        <w:rPr>
          <w:i w:val="1"/>
          <w:sz w:val="28"/>
          <w:szCs w:val="28"/>
          <w:rtl w:val="0"/>
        </w:rPr>
        <w:t xml:space="preserve">Francoforte sarà un centro della finanza ancora più forte</w:t>
      </w:r>
      <w:r w:rsidDel="00000000" w:rsidR="00000000" w:rsidRPr="00000000">
        <w:rPr>
          <w:sz w:val="28"/>
          <w:szCs w:val="28"/>
          <w:rtl w:val="0"/>
        </w:rPr>
        <w:t xml:space="preserve">», la sconfitta di Roma ha innescato gli attacchi delle opposizioni, la capo delegazione del Movimento 5 Stelle a Strasburgo ha parlato di «</w:t>
      </w:r>
      <w:r w:rsidDel="00000000" w:rsidR="00000000" w:rsidRPr="00000000">
        <w:rPr>
          <w:i w:val="1"/>
          <w:sz w:val="28"/>
          <w:szCs w:val="28"/>
          <w:rtl w:val="0"/>
        </w:rPr>
        <w:t xml:space="preserve">ennesima disfatta del governo</w:t>
      </w:r>
      <w:r w:rsidDel="00000000" w:rsidR="00000000" w:rsidRPr="00000000">
        <w:rPr>
          <w:sz w:val="28"/>
          <w:szCs w:val="28"/>
          <w:rtl w:val="0"/>
        </w:rPr>
        <w:t xml:space="preserve">» e i membri di Azione hanno imputato la mancata vittoria all’isolamento dell’Italia.</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Il ruolo dell’Agenzia europea per l’antiriciclaggio</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L’Agenzia europea per l’antiriciclaggio, che avrà poteri di vigilanza diretta e indiretta, rappresenta un significativo passo avanti nella lotta alla criminalità finanziaria, ha sottolineato la Presidenza belga, evidenziando che l’autorità «</w:t>
      </w:r>
      <w:r w:rsidDel="00000000" w:rsidR="00000000" w:rsidRPr="00000000">
        <w:rPr>
          <w:i w:val="1"/>
          <w:sz w:val="28"/>
          <w:szCs w:val="28"/>
          <w:rtl w:val="0"/>
        </w:rPr>
        <w:t xml:space="preserve">rappresenta un potente strumento per garantire l’integrità del sistema finanziario UE</w:t>
      </w:r>
      <w:r w:rsidDel="00000000" w:rsidR="00000000" w:rsidRPr="00000000">
        <w:rPr>
          <w:sz w:val="28"/>
          <w:szCs w:val="28"/>
          <w:rtl w:val="0"/>
        </w:rPr>
        <w:t xml:space="preserve">» e «</w:t>
      </w:r>
      <w:r w:rsidDel="00000000" w:rsidR="00000000" w:rsidRPr="00000000">
        <w:rPr>
          <w:i w:val="1"/>
          <w:sz w:val="28"/>
          <w:szCs w:val="28"/>
          <w:rtl w:val="0"/>
        </w:rPr>
        <w:t xml:space="preserve">proteggere i cittadini dall’impatto dannoso del riciclaggio di denaro e del finanziamento del terrorismo</w:t>
      </w:r>
      <w:r w:rsidDel="00000000" w:rsidR="00000000" w:rsidRPr="00000000">
        <w:rPr>
          <w:sz w:val="28"/>
          <w:szCs w:val="28"/>
          <w:rtl w:val="0"/>
        </w:rPr>
        <w:t xml:space="preserve">».</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7"/>
          <w:szCs w:val="37"/>
        </w:rPr>
      </w:pPr>
      <w:r w:rsidDel="00000000" w:rsidR="00000000" w:rsidRPr="00000000">
        <w:rPr>
          <w:sz w:val="28"/>
          <w:szCs w:val="28"/>
          <w:rtl w:val="0"/>
        </w:rPr>
        <w:t xml:space="preserve">L’AMLA svolgerà un ruolo chiave nella lotta alle attività finanziarie illecite nell’Unione Europea e con più di 400 dipendenti, inizierà le sue operazioni a metà del 2025.</w:t>
      </w:r>
      <w:r w:rsidDel="00000000" w:rsidR="00000000" w:rsidRPr="00000000">
        <w:rPr>
          <w:rtl w:val="0"/>
        </w:rPr>
      </w:r>
    </w:p>
    <w:p w:rsidR="00000000" w:rsidDel="00000000" w:rsidP="00000000" w:rsidRDefault="00000000" w:rsidRPr="00000000" w14:paraId="00000082">
      <w:pPr>
        <w:rPr>
          <w:sz w:val="28"/>
          <w:szCs w:val="28"/>
        </w:rPr>
      </w:pPr>
      <w:r w:rsidDel="00000000" w:rsidR="00000000" w:rsidRPr="00000000">
        <w:rPr>
          <w:rtl w:val="0"/>
        </w:rPr>
      </w:r>
    </w:p>
    <w:p w:rsidR="00000000" w:rsidDel="00000000" w:rsidP="00000000" w:rsidRDefault="00000000" w:rsidRPr="00000000" w14:paraId="00000083">
      <w:pPr>
        <w:rPr>
          <w:sz w:val="28"/>
          <w:szCs w:val="28"/>
        </w:rPr>
      </w:pPr>
      <w:r w:rsidDel="00000000" w:rsidR="00000000" w:rsidRPr="00000000">
        <w:rPr>
          <w:rtl w:val="0"/>
        </w:rPr>
      </w:r>
    </w:p>
    <w:p w:rsidR="00000000" w:rsidDel="00000000" w:rsidP="00000000" w:rsidRDefault="00000000" w:rsidRPr="00000000" w14:paraId="00000084">
      <w:pPr>
        <w:rPr>
          <w:sz w:val="28"/>
          <w:szCs w:val="28"/>
        </w:rPr>
      </w:pPr>
      <w:r w:rsidDel="00000000" w:rsidR="00000000" w:rsidRPr="00000000">
        <w:rPr>
          <w:rtl w:val="0"/>
        </w:rPr>
      </w:r>
    </w:p>
    <w:p w:rsidR="00000000" w:rsidDel="00000000" w:rsidP="00000000" w:rsidRDefault="00000000" w:rsidRPr="00000000" w14:paraId="00000085">
      <w:pPr>
        <w:rPr>
          <w:sz w:val="28"/>
          <w:szCs w:val="28"/>
        </w:rPr>
      </w:pPr>
      <w:r w:rsidDel="00000000" w:rsidR="00000000" w:rsidRPr="00000000">
        <w:rPr>
          <w:rtl w:val="0"/>
        </w:rPr>
      </w:r>
    </w:p>
    <w:p w:rsidR="00000000" w:rsidDel="00000000" w:rsidP="00000000" w:rsidRDefault="00000000" w:rsidRPr="00000000" w14:paraId="00000086">
      <w:pPr>
        <w:rPr>
          <w:sz w:val="28"/>
          <w:szCs w:val="28"/>
        </w:rPr>
      </w:pPr>
      <w:r w:rsidDel="00000000" w:rsidR="00000000" w:rsidRPr="00000000">
        <w:rPr>
          <w:rtl w:val="0"/>
        </w:rPr>
      </w:r>
    </w:p>
    <w:p w:rsidR="00000000" w:rsidDel="00000000" w:rsidP="00000000" w:rsidRDefault="00000000" w:rsidRPr="00000000" w14:paraId="00000087">
      <w:pPr>
        <w:pStyle w:val="Heading1"/>
        <w:rPr/>
      </w:pPr>
      <w:bookmarkStart w:colFirst="0" w:colLast="0" w:name="_7r4v5385jdfv" w:id="22"/>
      <w:bookmarkEnd w:id="22"/>
      <w:r w:rsidDel="00000000" w:rsidR="00000000" w:rsidRPr="00000000">
        <w:rPr>
          <w:rtl w:val="0"/>
        </w:rPr>
        <w:t xml:space="preserve">Attività Tre. Discussione</w:t>
      </w:r>
    </w:p>
    <w:p w:rsidR="00000000" w:rsidDel="00000000" w:rsidP="00000000" w:rsidRDefault="00000000" w:rsidRPr="00000000" w14:paraId="00000088">
      <w:pPr>
        <w:rPr>
          <w:sz w:val="28"/>
          <w:szCs w:val="28"/>
        </w:rPr>
      </w:pPr>
      <w:r w:rsidDel="00000000" w:rsidR="00000000" w:rsidRPr="00000000">
        <w:rPr>
          <w:rtl w:val="0"/>
        </w:rPr>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sz w:val="28"/>
                <w:szCs w:val="28"/>
              </w:rPr>
            </w:pPr>
            <w:r w:rsidDel="00000000" w:rsidR="00000000" w:rsidRPr="00000000">
              <w:rPr>
                <w:sz w:val="28"/>
                <w:szCs w:val="28"/>
                <w:rtl w:val="0"/>
              </w:rPr>
              <w:t xml:space="preserve">1. Quali pensi siano stati i fattori determinanti nella scelta di Francoforte come sede principale dell'agenzia europea contro il riciclaggio di denaro rispetto ad altre città concorrenti?</w:t>
            </w:r>
          </w:p>
          <w:p w:rsidR="00000000" w:rsidDel="00000000" w:rsidP="00000000" w:rsidRDefault="00000000" w:rsidRPr="00000000" w14:paraId="0000008A">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8B">
            <w:pPr>
              <w:widowControl w:val="0"/>
              <w:spacing w:line="240" w:lineRule="auto"/>
              <w:rPr>
                <w:sz w:val="28"/>
                <w:szCs w:val="28"/>
              </w:rPr>
            </w:pPr>
            <w:r w:rsidDel="00000000" w:rsidR="00000000" w:rsidRPr="00000000">
              <w:rPr>
                <w:sz w:val="28"/>
                <w:szCs w:val="28"/>
                <w:rtl w:val="0"/>
              </w:rPr>
              <w:t xml:space="preserve">2. Come potrebbero le dinamiche politiche ed economiche all'interno dell'Unione Europea aver influito sul processo decisionale riguardante la sede dell'agenzia?</w:t>
            </w:r>
          </w:p>
          <w:p w:rsidR="00000000" w:rsidDel="00000000" w:rsidP="00000000" w:rsidRDefault="00000000" w:rsidRPr="00000000" w14:paraId="0000008C">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8D">
            <w:pPr>
              <w:widowControl w:val="0"/>
              <w:spacing w:line="240" w:lineRule="auto"/>
              <w:rPr>
                <w:sz w:val="28"/>
                <w:szCs w:val="28"/>
              </w:rPr>
            </w:pPr>
            <w:r w:rsidDel="00000000" w:rsidR="00000000" w:rsidRPr="00000000">
              <w:rPr>
                <w:sz w:val="28"/>
                <w:szCs w:val="28"/>
                <w:rtl w:val="0"/>
              </w:rPr>
              <w:t xml:space="preserve">3. Riflettendo sulle possibili implicazioni della scelta di Francoforte, quali cambiamenti potrebbero avvenire nel panorama geopolitico europeo?</w:t>
            </w:r>
          </w:p>
          <w:p w:rsidR="00000000" w:rsidDel="00000000" w:rsidP="00000000" w:rsidRDefault="00000000" w:rsidRPr="00000000" w14:paraId="0000008E">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8F">
            <w:pPr>
              <w:widowControl w:val="0"/>
              <w:spacing w:line="240" w:lineRule="auto"/>
              <w:rPr>
                <w:sz w:val="28"/>
                <w:szCs w:val="28"/>
              </w:rPr>
            </w:pPr>
            <w:r w:rsidDel="00000000" w:rsidR="00000000" w:rsidRPr="00000000">
              <w:rPr>
                <w:sz w:val="28"/>
                <w:szCs w:val="28"/>
                <w:rtl w:val="0"/>
              </w:rPr>
              <w:t xml:space="preserve">4. Come potrebbe la scelta di Francoforte influenzare la percezione dell'influenza e del ruolo di leadership della Germania all'interno dell'Unione Europea?</w:t>
            </w:r>
          </w:p>
          <w:p w:rsidR="00000000" w:rsidDel="00000000" w:rsidP="00000000" w:rsidRDefault="00000000" w:rsidRPr="00000000" w14:paraId="00000090">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91">
            <w:pPr>
              <w:widowControl w:val="0"/>
              <w:spacing w:line="240" w:lineRule="auto"/>
              <w:rPr>
                <w:sz w:val="28"/>
                <w:szCs w:val="28"/>
              </w:rPr>
            </w:pPr>
            <w:r w:rsidDel="00000000" w:rsidR="00000000" w:rsidRPr="00000000">
              <w:rPr>
                <w:sz w:val="28"/>
                <w:szCs w:val="28"/>
                <w:rtl w:val="0"/>
              </w:rPr>
              <w:t xml:space="preserve">5. Cosa ci dice l'istituzione di questa agenzia sulle intenzioni dell'UE nel combattere i reati finanziari e garantire la sicurezza dei suoi sistemi finanziari?</w:t>
            </w:r>
          </w:p>
          <w:p w:rsidR="00000000" w:rsidDel="00000000" w:rsidP="00000000" w:rsidRDefault="00000000" w:rsidRPr="00000000" w14:paraId="00000092">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93">
            <w:pPr>
              <w:widowControl w:val="0"/>
              <w:spacing w:line="240" w:lineRule="auto"/>
              <w:rPr>
                <w:sz w:val="28"/>
                <w:szCs w:val="28"/>
              </w:rPr>
            </w:pPr>
            <w:r w:rsidDel="00000000" w:rsidR="00000000" w:rsidRPr="00000000">
              <w:rPr>
                <w:sz w:val="28"/>
                <w:szCs w:val="28"/>
                <w:rtl w:val="0"/>
              </w:rPr>
              <w:t xml:space="preserve">6. Considerando l'importanza dell'agenzia nel contrastare le attività finanziarie illecite, quali sfide pensi che possano sorgere nel suo istituzione e nel suo funzionamento?</w:t>
            </w:r>
          </w:p>
          <w:p w:rsidR="00000000" w:rsidDel="00000000" w:rsidP="00000000" w:rsidRDefault="00000000" w:rsidRPr="00000000" w14:paraId="00000094">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95">
            <w:pPr>
              <w:widowControl w:val="0"/>
              <w:spacing w:line="240" w:lineRule="auto"/>
              <w:rPr>
                <w:sz w:val="28"/>
                <w:szCs w:val="28"/>
              </w:rPr>
            </w:pPr>
            <w:r w:rsidDel="00000000" w:rsidR="00000000" w:rsidRPr="00000000">
              <w:rPr>
                <w:sz w:val="28"/>
                <w:szCs w:val="28"/>
                <w:rtl w:val="0"/>
              </w:rPr>
              <w:t xml:space="preserve">7. Guardando oltre le conseguenze immediate, quali impatti a lungo termine potrebbero verificarsi sulla città di Francoforte in termini di economia, infrastrutture e posizione internazionale?</w:t>
            </w:r>
          </w:p>
          <w:p w:rsidR="00000000" w:rsidDel="00000000" w:rsidP="00000000" w:rsidRDefault="00000000" w:rsidRPr="00000000" w14:paraId="00000096">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97">
            <w:pPr>
              <w:widowControl w:val="0"/>
              <w:spacing w:line="240" w:lineRule="auto"/>
              <w:rPr>
                <w:sz w:val="28"/>
                <w:szCs w:val="28"/>
              </w:rPr>
            </w:pPr>
            <w:r w:rsidDel="00000000" w:rsidR="00000000" w:rsidRPr="00000000">
              <w:rPr>
                <w:sz w:val="28"/>
                <w:szCs w:val="28"/>
                <w:rtl w:val="0"/>
              </w:rPr>
              <w:t xml:space="preserve">8. Considerando le opinioni delle diverse parti coinvolte, quali aspetti etici dovrebbero essere considerati nell'istituzione e nel funzionamento dell'agenzia europea contro il riciclaggio di denaro?</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bl>
    <w:p w:rsidR="00000000" w:rsidDel="00000000" w:rsidP="00000000" w:rsidRDefault="00000000" w:rsidRPr="00000000" w14:paraId="00000099">
      <w:pPr>
        <w:rPr>
          <w:sz w:val="28"/>
          <w:szCs w:val="28"/>
        </w:rPr>
      </w:pPr>
      <w:r w:rsidDel="00000000" w:rsidR="00000000" w:rsidRPr="00000000">
        <w:rPr>
          <w:rtl w:val="0"/>
        </w:rPr>
      </w:r>
    </w:p>
    <w:p w:rsidR="00000000" w:rsidDel="00000000" w:rsidP="00000000" w:rsidRDefault="00000000" w:rsidRPr="00000000" w14:paraId="0000009A">
      <w:pPr>
        <w:rPr>
          <w:sz w:val="28"/>
          <w:szCs w:val="28"/>
        </w:rPr>
      </w:pPr>
      <w:r w:rsidDel="00000000" w:rsidR="00000000" w:rsidRPr="00000000">
        <w:rPr>
          <w:rtl w:val="0"/>
        </w:rPr>
      </w:r>
    </w:p>
    <w:p w:rsidR="00000000" w:rsidDel="00000000" w:rsidP="00000000" w:rsidRDefault="00000000" w:rsidRPr="00000000" w14:paraId="0000009B">
      <w:pPr>
        <w:rPr>
          <w:sz w:val="28"/>
          <w:szCs w:val="28"/>
        </w:rPr>
      </w:pPr>
      <w:r w:rsidDel="00000000" w:rsidR="00000000" w:rsidRPr="00000000">
        <w:rPr>
          <w:rtl w:val="0"/>
        </w:rPr>
      </w:r>
    </w:p>
    <w:p w:rsidR="00000000" w:rsidDel="00000000" w:rsidP="00000000" w:rsidRDefault="00000000" w:rsidRPr="00000000" w14:paraId="0000009C">
      <w:pPr>
        <w:rPr>
          <w:sz w:val="28"/>
          <w:szCs w:val="28"/>
        </w:rPr>
      </w:pPr>
      <w:r w:rsidDel="00000000" w:rsidR="00000000" w:rsidRPr="00000000">
        <w:rPr>
          <w:rtl w:val="0"/>
        </w:rPr>
      </w:r>
    </w:p>
    <w:p w:rsidR="00000000" w:rsidDel="00000000" w:rsidP="00000000" w:rsidRDefault="00000000" w:rsidRPr="00000000" w14:paraId="0000009D">
      <w:pPr>
        <w:rPr>
          <w:sz w:val="28"/>
          <w:szCs w:val="28"/>
        </w:rPr>
      </w:pPr>
      <w:r w:rsidDel="00000000" w:rsidR="00000000" w:rsidRPr="00000000">
        <w:rPr>
          <w:rtl w:val="0"/>
        </w:rPr>
      </w:r>
    </w:p>
    <w:p w:rsidR="00000000" w:rsidDel="00000000" w:rsidP="00000000" w:rsidRDefault="00000000" w:rsidRPr="00000000" w14:paraId="0000009E">
      <w:pPr>
        <w:rPr>
          <w:sz w:val="28"/>
          <w:szCs w:val="28"/>
        </w:rPr>
      </w:pPr>
      <w:r w:rsidDel="00000000" w:rsidR="00000000" w:rsidRPr="00000000">
        <w:rPr>
          <w:rtl w:val="0"/>
        </w:rPr>
      </w:r>
    </w:p>
    <w:p w:rsidR="00000000" w:rsidDel="00000000" w:rsidP="00000000" w:rsidRDefault="00000000" w:rsidRPr="00000000" w14:paraId="0000009F">
      <w:pPr>
        <w:pStyle w:val="Heading1"/>
        <w:rPr/>
      </w:pPr>
      <w:bookmarkStart w:colFirst="0" w:colLast="0" w:name="_jo5g2wrq4vt3" w:id="23"/>
      <w:bookmarkEnd w:id="23"/>
      <w:r w:rsidDel="00000000" w:rsidR="00000000" w:rsidRPr="00000000">
        <w:rPr>
          <w:rtl w:val="0"/>
        </w:rPr>
        <w:t xml:space="preserve">Attività Quattro</w:t>
      </w:r>
    </w:p>
    <w:p w:rsidR="00000000" w:rsidDel="00000000" w:rsidP="00000000" w:rsidRDefault="00000000" w:rsidRPr="00000000" w14:paraId="000000A0">
      <w:pPr>
        <w:rPr>
          <w:sz w:val="28"/>
          <w:szCs w:val="28"/>
        </w:rPr>
      </w:pPr>
      <w:r w:rsidDel="00000000" w:rsidR="00000000" w:rsidRPr="00000000">
        <w:rPr>
          <w:sz w:val="28"/>
          <w:szCs w:val="28"/>
          <w:rtl w:val="0"/>
        </w:rPr>
        <w:t xml:space="preserve">Questa è lo schema della presentazione che il Comune di Roma ha preparato per sostenere la candidatura di Roma a diventare la sede dell’AMLA.</w:t>
      </w:r>
    </w:p>
    <w:p w:rsidR="00000000" w:rsidDel="00000000" w:rsidP="00000000" w:rsidRDefault="00000000" w:rsidRPr="00000000" w14:paraId="000000A1">
      <w:pPr>
        <w:rPr>
          <w:sz w:val="28"/>
          <w:szCs w:val="28"/>
        </w:rPr>
      </w:pPr>
      <w:r w:rsidDel="00000000" w:rsidR="00000000" w:rsidRPr="00000000">
        <w:rPr>
          <w:rtl w:val="0"/>
        </w:rPr>
      </w:r>
    </w:p>
    <w:p w:rsidR="00000000" w:rsidDel="00000000" w:rsidP="00000000" w:rsidRDefault="00000000" w:rsidRPr="00000000" w14:paraId="000000A2">
      <w:pPr>
        <w:rPr>
          <w:sz w:val="28"/>
          <w:szCs w:val="28"/>
        </w:rPr>
      </w:pPr>
      <w:r w:rsidDel="00000000" w:rsidR="00000000" w:rsidRPr="00000000">
        <w:rPr>
          <w:sz w:val="28"/>
          <w:szCs w:val="28"/>
          <w:rtl w:val="0"/>
        </w:rPr>
        <w:t xml:space="preserve">In particolare: </w:t>
      </w:r>
    </w:p>
    <w:p w:rsidR="00000000" w:rsidDel="00000000" w:rsidP="00000000" w:rsidRDefault="00000000" w:rsidRPr="00000000" w14:paraId="000000A3">
      <w:pPr>
        <w:rPr>
          <w:sz w:val="28"/>
          <w:szCs w:val="28"/>
        </w:rPr>
      </w:pPr>
      <w:r w:rsidDel="00000000" w:rsidR="00000000" w:rsidRPr="00000000">
        <w:rPr>
          <w:rtl w:val="0"/>
        </w:rPr>
      </w:r>
    </w:p>
    <w:p w:rsidR="00000000" w:rsidDel="00000000" w:rsidP="00000000" w:rsidRDefault="00000000" w:rsidRPr="00000000" w14:paraId="000000A4">
      <w:pPr>
        <w:rPr>
          <w:color w:val="1c2024"/>
          <w:sz w:val="28"/>
          <w:szCs w:val="28"/>
        </w:rPr>
      </w:pPr>
      <w:r w:rsidDel="00000000" w:rsidR="00000000" w:rsidRPr="00000000">
        <w:rPr>
          <w:color w:val="1c2024"/>
          <w:sz w:val="28"/>
          <w:szCs w:val="28"/>
          <w:rtl w:val="0"/>
        </w:rPr>
        <w:t xml:space="preserve">*La prima sezione riguarda l’immobile destinato a ospitare la sede dell’AMLA nel quartiere Eur (le Torri progettate dall’architetto Cesare Ligini) e ne illustra le caratteristiche e le condizioni finanziarie per l’utilizzo.</w:t>
      </w:r>
    </w:p>
    <w:p w:rsidR="00000000" w:rsidDel="00000000" w:rsidP="00000000" w:rsidRDefault="00000000" w:rsidRPr="00000000" w14:paraId="000000A5">
      <w:pPr>
        <w:rPr>
          <w:color w:val="1c2024"/>
          <w:sz w:val="28"/>
          <w:szCs w:val="28"/>
        </w:rPr>
      </w:pPr>
      <w:r w:rsidDel="00000000" w:rsidR="00000000" w:rsidRPr="00000000">
        <w:rPr>
          <w:color w:val="1c2024"/>
          <w:sz w:val="28"/>
          <w:szCs w:val="28"/>
          <w:rtl w:val="0"/>
        </w:rPr>
        <w:t xml:space="preserve"> </w:t>
      </w:r>
    </w:p>
    <w:p w:rsidR="00000000" w:rsidDel="00000000" w:rsidP="00000000" w:rsidRDefault="00000000" w:rsidRPr="00000000" w14:paraId="000000A6">
      <w:pPr>
        <w:rPr>
          <w:color w:val="1c2024"/>
          <w:sz w:val="28"/>
          <w:szCs w:val="28"/>
        </w:rPr>
      </w:pPr>
      <w:r w:rsidDel="00000000" w:rsidR="00000000" w:rsidRPr="00000000">
        <w:rPr>
          <w:color w:val="1c2024"/>
          <w:sz w:val="28"/>
          <w:szCs w:val="28"/>
          <w:rtl w:val="0"/>
        </w:rPr>
        <w:t xml:space="preserve">*La seconda sezione si sofferma sulla rete di collegamenti aerei facilmente accessibili dalla possibile sede di AMLA grazie ai due aeroporti internazionali della città di Roma.</w:t>
      </w:r>
    </w:p>
    <w:p w:rsidR="00000000" w:rsidDel="00000000" w:rsidP="00000000" w:rsidRDefault="00000000" w:rsidRPr="00000000" w14:paraId="000000A7">
      <w:pPr>
        <w:rPr>
          <w:color w:val="1c2024"/>
          <w:sz w:val="28"/>
          <w:szCs w:val="28"/>
        </w:rPr>
      </w:pPr>
      <w:r w:rsidDel="00000000" w:rsidR="00000000" w:rsidRPr="00000000">
        <w:rPr>
          <w:color w:val="1c2024"/>
          <w:sz w:val="28"/>
          <w:szCs w:val="28"/>
          <w:rtl w:val="0"/>
        </w:rPr>
        <w:t xml:space="preserve"> </w:t>
      </w:r>
    </w:p>
    <w:p w:rsidR="00000000" w:rsidDel="00000000" w:rsidP="00000000" w:rsidRDefault="00000000" w:rsidRPr="00000000" w14:paraId="000000A8">
      <w:pPr>
        <w:rPr>
          <w:color w:val="1c2024"/>
          <w:sz w:val="28"/>
          <w:szCs w:val="28"/>
        </w:rPr>
      </w:pPr>
      <w:r w:rsidDel="00000000" w:rsidR="00000000" w:rsidRPr="00000000">
        <w:rPr>
          <w:color w:val="1c2024"/>
          <w:sz w:val="28"/>
          <w:szCs w:val="28"/>
          <w:rtl w:val="0"/>
        </w:rPr>
        <w:t xml:space="preserve">*La terza e ultima sezione raccoglie e sintetizza informazioni sui diversi servizi pubblici e privati disponibili nell’area metropolitana di Roma, oltre all’offerta di servizi culturali, educativi, sanitari e sportivi offerti dalla città, che sicuramente contribuiranno a migliorare l’esperienza e la qualità della vita dei futuri dipendenti dell’AMLA.</w:t>
      </w:r>
    </w:p>
    <w:p w:rsidR="00000000" w:rsidDel="00000000" w:rsidP="00000000" w:rsidRDefault="00000000" w:rsidRPr="00000000" w14:paraId="000000A9">
      <w:pPr>
        <w:rPr>
          <w:color w:val="1c2024"/>
          <w:sz w:val="28"/>
          <w:szCs w:val="28"/>
        </w:rPr>
      </w:pPr>
      <w:r w:rsidDel="00000000" w:rsidR="00000000" w:rsidRPr="00000000">
        <w:rPr>
          <w:rtl w:val="0"/>
        </w:rPr>
      </w:r>
    </w:p>
    <w:p w:rsidR="00000000" w:rsidDel="00000000" w:rsidP="00000000" w:rsidRDefault="00000000" w:rsidRPr="00000000" w14:paraId="000000AA">
      <w:pPr>
        <w:rPr>
          <w:color w:val="1c2024"/>
          <w:sz w:val="28"/>
          <w:szCs w:val="28"/>
        </w:rPr>
      </w:pPr>
      <w:r w:rsidDel="00000000" w:rsidR="00000000" w:rsidRPr="00000000">
        <w:rPr>
          <w:color w:val="1c2024"/>
          <w:sz w:val="28"/>
          <w:szCs w:val="28"/>
          <w:rtl w:val="0"/>
        </w:rPr>
        <w:t xml:space="preserve">L’intero articolo è qui: </w:t>
      </w:r>
      <w:hyperlink r:id="rId11">
        <w:r w:rsidDel="00000000" w:rsidR="00000000" w:rsidRPr="00000000">
          <w:rPr>
            <w:color w:val="1155cc"/>
            <w:sz w:val="28"/>
            <w:szCs w:val="28"/>
            <w:u w:val="single"/>
            <w:rtl w:val="0"/>
          </w:rPr>
          <w:t xml:space="preserve">Roma Capitale | Sito Istituzionale | Autorità Antiriciclaggio Europea, Roma candidata (comune.roma.it)</w:t>
        </w:r>
      </w:hyperlink>
      <w:r w:rsidDel="00000000" w:rsidR="00000000" w:rsidRPr="00000000">
        <w:rPr>
          <w:rtl w:val="0"/>
        </w:rPr>
      </w:r>
    </w:p>
    <w:p w:rsidR="00000000" w:rsidDel="00000000" w:rsidP="00000000" w:rsidRDefault="00000000" w:rsidRPr="00000000" w14:paraId="000000AB">
      <w:pPr>
        <w:rPr>
          <w:color w:val="1c2024"/>
          <w:sz w:val="27"/>
          <w:szCs w:val="27"/>
        </w:rPr>
      </w:pPr>
      <w:r w:rsidDel="00000000" w:rsidR="00000000" w:rsidRPr="00000000">
        <w:rPr>
          <w:color w:val="1c2024"/>
          <w:sz w:val="27"/>
          <w:szCs w:val="27"/>
          <w:rtl w:val="0"/>
        </w:rPr>
        <w:t xml:space="preserve"> </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b w:val="1"/>
          <w:sz w:val="28"/>
          <w:szCs w:val="28"/>
        </w:rPr>
      </w:pPr>
      <w:r w:rsidDel="00000000" w:rsidR="00000000" w:rsidRPr="00000000">
        <w:rPr>
          <w:b w:val="1"/>
          <w:sz w:val="28"/>
          <w:szCs w:val="28"/>
          <w:rtl w:val="0"/>
        </w:rPr>
        <w:t xml:space="preserve">Dopo aver letto lo schema e l’articolo dal sito di Roma Capitale, prepara una breve presentazione sulla tua città, come se dovesse candidarsi a diventare sede dell’Agenzia Europea per l’Antiriciclaggio.</w:t>
      </w:r>
    </w:p>
    <w:p w:rsidR="00000000" w:rsidDel="00000000" w:rsidP="00000000" w:rsidRDefault="00000000" w:rsidRPr="00000000" w14:paraId="000000AE">
      <w:pPr>
        <w:rPr>
          <w:b w:val="1"/>
          <w:sz w:val="28"/>
          <w:szCs w:val="28"/>
        </w:rPr>
      </w:pPr>
      <w:r w:rsidDel="00000000" w:rsidR="00000000" w:rsidRPr="00000000">
        <w:rPr>
          <w:rtl w:val="0"/>
        </w:rPr>
      </w:r>
    </w:p>
    <w:p w:rsidR="00000000" w:rsidDel="00000000" w:rsidP="00000000" w:rsidRDefault="00000000" w:rsidRPr="00000000" w14:paraId="000000AF">
      <w:pPr>
        <w:rPr>
          <w:sz w:val="28"/>
          <w:szCs w:val="28"/>
        </w:rPr>
      </w:pPr>
      <w:r w:rsidDel="00000000" w:rsidR="00000000" w:rsidRPr="00000000">
        <w:rPr>
          <w:rtl w:val="0"/>
        </w:rPr>
      </w:r>
    </w:p>
    <w:p w:rsidR="00000000" w:rsidDel="00000000" w:rsidP="00000000" w:rsidRDefault="00000000" w:rsidRPr="00000000" w14:paraId="000000B0">
      <w:pPr>
        <w:rPr>
          <w:sz w:val="28"/>
          <w:szCs w:val="28"/>
        </w:rPr>
      </w:pPr>
      <w:r w:rsidDel="00000000" w:rsidR="00000000" w:rsidRPr="00000000">
        <w:rPr>
          <w:rtl w:val="0"/>
        </w:rPr>
      </w:r>
    </w:p>
    <w:p w:rsidR="00000000" w:rsidDel="00000000" w:rsidP="00000000" w:rsidRDefault="00000000" w:rsidRPr="00000000" w14:paraId="000000B1">
      <w:pPr>
        <w:rPr>
          <w:sz w:val="28"/>
          <w:szCs w:val="28"/>
        </w:rPr>
      </w:pPr>
      <w:r w:rsidDel="00000000" w:rsidR="00000000" w:rsidRPr="00000000">
        <w:rPr>
          <w:rtl w:val="0"/>
        </w:rPr>
      </w:r>
    </w:p>
    <w:p w:rsidR="00000000" w:rsidDel="00000000" w:rsidP="00000000" w:rsidRDefault="00000000" w:rsidRPr="00000000" w14:paraId="000000B2">
      <w:pPr>
        <w:pStyle w:val="Title"/>
        <w:rPr/>
      </w:pPr>
      <w:bookmarkStart w:colFirst="0" w:colLast="0" w:name="_yispmwhgc3si" w:id="24"/>
      <w:bookmarkEnd w:id="24"/>
      <w:r w:rsidDel="00000000" w:rsidR="00000000" w:rsidRPr="00000000">
        <w:rPr>
          <w:rtl w:val="0"/>
        </w:rPr>
        <w:t xml:space="preserve">Soluzioni</w:t>
      </w:r>
      <w:r w:rsidDel="00000000" w:rsidR="00000000" w:rsidRPr="00000000">
        <w:rPr>
          <w:rtl w:val="0"/>
        </w:rPr>
      </w:r>
    </w:p>
    <w:tbl>
      <w:tblPr>
        <w:tblStyle w:val="Table6"/>
        <w:tblW w:w="90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0"/>
        <w:gridCol w:w="6630"/>
        <w:tblGridChange w:id="0">
          <w:tblGrid>
            <w:gridCol w:w="2400"/>
            <w:gridCol w:w="6630"/>
          </w:tblGrid>
        </w:tblGridChange>
      </w:tblGrid>
      <w:tr>
        <w:trPr>
          <w:cantSplit w:val="0"/>
          <w:trHeight w:val="695" w:hRule="atLeast"/>
          <w:tblHeader w:val="0"/>
        </w:trPr>
        <w:tc>
          <w:tcPr>
            <w:tcBorders>
              <w:top w:color="e3e3e3" w:space="0" w:sz="4" w:val="single"/>
              <w:left w:color="e3e3e3" w:space="0" w:sz="4" w:val="single"/>
              <w:bottom w:color="e3e3e3" w:space="0" w:sz="4"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B3">
            <w:pPr>
              <w:spacing w:line="240" w:lineRule="auto"/>
              <w:jc w:val="center"/>
              <w:rPr>
                <w:b w:val="1"/>
                <w:sz w:val="28"/>
                <w:szCs w:val="28"/>
              </w:rPr>
            </w:pPr>
            <w:r w:rsidDel="00000000" w:rsidR="00000000" w:rsidRPr="00000000">
              <w:rPr>
                <w:b w:val="1"/>
                <w:sz w:val="28"/>
                <w:szCs w:val="28"/>
                <w:rtl w:val="0"/>
              </w:rPr>
              <w:t xml:space="preserve">Parola</w:t>
            </w:r>
          </w:p>
        </w:tc>
        <w:tc>
          <w:tcPr>
            <w:tcBorders>
              <w:top w:color="e3e3e3" w:space="0" w:sz="4" w:val="single"/>
              <w:left w:color="e3e3e3" w:space="0" w:sz="4" w:val="single"/>
              <w:bottom w:color="e3e3e3" w:space="0" w:sz="4" w:val="single"/>
              <w:right w:color="e3e3e3" w:space="0" w:sz="4" w:val="single"/>
            </w:tcBorders>
            <w:tcMar>
              <w:top w:w="100.0" w:type="dxa"/>
              <w:left w:w="100.0" w:type="dxa"/>
              <w:bottom w:w="100.0" w:type="dxa"/>
              <w:right w:w="100.0" w:type="dxa"/>
            </w:tcMar>
            <w:vAlign w:val="bottom"/>
          </w:tcPr>
          <w:p w:rsidR="00000000" w:rsidDel="00000000" w:rsidP="00000000" w:rsidRDefault="00000000" w:rsidRPr="00000000" w14:paraId="000000B4">
            <w:pPr>
              <w:spacing w:line="240" w:lineRule="auto"/>
              <w:jc w:val="center"/>
              <w:rPr>
                <w:b w:val="1"/>
                <w:sz w:val="28"/>
                <w:szCs w:val="28"/>
              </w:rPr>
            </w:pPr>
            <w:r w:rsidDel="00000000" w:rsidR="00000000" w:rsidRPr="00000000">
              <w:rPr>
                <w:b w:val="1"/>
                <w:sz w:val="28"/>
                <w:szCs w:val="28"/>
                <w:rtl w:val="0"/>
              </w:rPr>
              <w:t xml:space="preserve">Definizione</w:t>
            </w:r>
          </w:p>
        </w:tc>
      </w:tr>
      <w:tr>
        <w:trPr>
          <w:cantSplit w:val="0"/>
          <w:trHeight w:val="1055" w:hRule="atLeast"/>
          <w:tblHeader w:val="0"/>
        </w:trPr>
        <w:tc>
          <w:tcPr>
            <w:tcBorders>
              <w:top w:color="000000" w:space="0" w:sz="0" w:val="nil"/>
              <w:left w:color="e3e3e3" w:space="0" w:sz="4" w:val="single"/>
              <w:bottom w:color="e3e3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B5">
            <w:pPr>
              <w:spacing w:line="240" w:lineRule="auto"/>
              <w:rPr>
                <w:sz w:val="28"/>
                <w:szCs w:val="28"/>
              </w:rPr>
            </w:pPr>
            <w:r w:rsidDel="00000000" w:rsidR="00000000" w:rsidRPr="00000000">
              <w:rPr>
                <w:sz w:val="28"/>
                <w:szCs w:val="28"/>
                <w:rtl w:val="0"/>
              </w:rPr>
              <w:t xml:space="preserve">Contesa</w:t>
            </w:r>
          </w:p>
        </w:tc>
        <w:tc>
          <w:tcPr>
            <w:tcBorders>
              <w:top w:color="000000" w:space="0" w:sz="0" w:val="nil"/>
              <w:left w:color="e3e3e3" w:space="0" w:sz="4" w:val="single"/>
              <w:bottom w:color="e3e3e3" w:space="0" w:sz="4" w:val="single"/>
              <w:right w:color="e3e3e3" w:space="0" w:sz="4" w:val="single"/>
            </w:tcBorders>
            <w:tcMar>
              <w:top w:w="100.0" w:type="dxa"/>
              <w:left w:w="100.0" w:type="dxa"/>
              <w:bottom w:w="100.0" w:type="dxa"/>
              <w:right w:w="100.0" w:type="dxa"/>
            </w:tcMar>
            <w:vAlign w:val="center"/>
          </w:tcPr>
          <w:p w:rsidR="00000000" w:rsidDel="00000000" w:rsidP="00000000" w:rsidRDefault="00000000" w:rsidRPr="00000000" w14:paraId="000000B6">
            <w:pPr>
              <w:spacing w:line="240" w:lineRule="auto"/>
              <w:rPr>
                <w:sz w:val="28"/>
                <w:szCs w:val="28"/>
              </w:rPr>
            </w:pPr>
            <w:r w:rsidDel="00000000" w:rsidR="00000000" w:rsidRPr="00000000">
              <w:rPr>
                <w:sz w:val="28"/>
                <w:szCs w:val="28"/>
                <w:rtl w:val="0"/>
              </w:rPr>
              <w:t xml:space="preserve">Una competizione o una lotta tra due o più parti per raggiungere un obiettivo.</w:t>
            </w:r>
          </w:p>
        </w:tc>
      </w:tr>
      <w:tr>
        <w:trPr>
          <w:cantSplit w:val="0"/>
          <w:trHeight w:val="695" w:hRule="atLeast"/>
          <w:tblHeader w:val="0"/>
        </w:trPr>
        <w:tc>
          <w:tcPr>
            <w:tcBorders>
              <w:top w:color="000000" w:space="0" w:sz="0" w:val="nil"/>
              <w:left w:color="e3e3e3" w:space="0" w:sz="4" w:val="single"/>
              <w:bottom w:color="e3e3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B7">
            <w:pPr>
              <w:spacing w:line="240" w:lineRule="auto"/>
              <w:rPr>
                <w:sz w:val="28"/>
                <w:szCs w:val="28"/>
              </w:rPr>
            </w:pPr>
            <w:r w:rsidDel="00000000" w:rsidR="00000000" w:rsidRPr="00000000">
              <w:rPr>
                <w:sz w:val="28"/>
                <w:szCs w:val="28"/>
                <w:rtl w:val="0"/>
              </w:rPr>
              <w:t xml:space="preserve">Agguerritissimo</w:t>
            </w:r>
          </w:p>
        </w:tc>
        <w:tc>
          <w:tcPr>
            <w:tcBorders>
              <w:top w:color="000000" w:space="0" w:sz="0" w:val="nil"/>
              <w:left w:color="e3e3e3" w:space="0" w:sz="4" w:val="single"/>
              <w:bottom w:color="e3e3e3" w:space="0" w:sz="4" w:val="single"/>
              <w:right w:color="e3e3e3" w:space="0" w:sz="4" w:val="single"/>
            </w:tcBorders>
            <w:tcMar>
              <w:top w:w="100.0" w:type="dxa"/>
              <w:left w:w="100.0" w:type="dxa"/>
              <w:bottom w:w="100.0" w:type="dxa"/>
              <w:right w:w="100.0" w:type="dxa"/>
            </w:tcMar>
            <w:vAlign w:val="center"/>
          </w:tcPr>
          <w:p w:rsidR="00000000" w:rsidDel="00000000" w:rsidP="00000000" w:rsidRDefault="00000000" w:rsidRPr="00000000" w14:paraId="000000B8">
            <w:pPr>
              <w:spacing w:line="240" w:lineRule="auto"/>
              <w:rPr>
                <w:sz w:val="28"/>
                <w:szCs w:val="28"/>
              </w:rPr>
            </w:pPr>
            <w:r w:rsidDel="00000000" w:rsidR="00000000" w:rsidRPr="00000000">
              <w:rPr>
                <w:sz w:val="28"/>
                <w:szCs w:val="28"/>
                <w:rtl w:val="0"/>
              </w:rPr>
              <w:t xml:space="preserve">Molto determinato e preparato per affrontare una sfida o una competizione.</w:t>
            </w:r>
          </w:p>
        </w:tc>
      </w:tr>
      <w:tr>
        <w:trPr>
          <w:cantSplit w:val="0"/>
          <w:trHeight w:val="695" w:hRule="atLeast"/>
          <w:tblHeader w:val="0"/>
        </w:trPr>
        <w:tc>
          <w:tcPr>
            <w:tcBorders>
              <w:top w:color="000000" w:space="0" w:sz="0" w:val="nil"/>
              <w:left w:color="e3e3e3" w:space="0" w:sz="4" w:val="single"/>
              <w:bottom w:color="e3e3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B9">
            <w:pPr>
              <w:spacing w:line="240" w:lineRule="auto"/>
              <w:rPr>
                <w:sz w:val="28"/>
                <w:szCs w:val="28"/>
              </w:rPr>
            </w:pPr>
            <w:r w:rsidDel="00000000" w:rsidR="00000000" w:rsidRPr="00000000">
              <w:rPr>
                <w:sz w:val="28"/>
                <w:szCs w:val="28"/>
                <w:rtl w:val="0"/>
              </w:rPr>
              <w:t xml:space="preserve">Snodo</w:t>
            </w:r>
          </w:p>
        </w:tc>
        <w:tc>
          <w:tcPr>
            <w:tcBorders>
              <w:top w:color="000000" w:space="0" w:sz="0" w:val="nil"/>
              <w:left w:color="e3e3e3" w:space="0" w:sz="4" w:val="single"/>
              <w:bottom w:color="e3e3e3" w:space="0" w:sz="4" w:val="single"/>
              <w:right w:color="e3e3e3" w:space="0" w:sz="4" w:val="single"/>
            </w:tcBorders>
            <w:tcMar>
              <w:top w:w="100.0" w:type="dxa"/>
              <w:left w:w="100.0" w:type="dxa"/>
              <w:bottom w:w="100.0" w:type="dxa"/>
              <w:right w:w="100.0" w:type="dxa"/>
            </w:tcMar>
            <w:vAlign w:val="center"/>
          </w:tcPr>
          <w:p w:rsidR="00000000" w:rsidDel="00000000" w:rsidP="00000000" w:rsidRDefault="00000000" w:rsidRPr="00000000" w14:paraId="000000BA">
            <w:pPr>
              <w:spacing w:line="240" w:lineRule="auto"/>
              <w:rPr>
                <w:sz w:val="28"/>
                <w:szCs w:val="28"/>
              </w:rPr>
            </w:pPr>
            <w:r w:rsidDel="00000000" w:rsidR="00000000" w:rsidRPr="00000000">
              <w:rPr>
                <w:sz w:val="28"/>
                <w:szCs w:val="28"/>
                <w:rtl w:val="0"/>
              </w:rPr>
              <w:t xml:space="preserve">Un punto cruciale o un centro importante in una rete o un sistema.</w:t>
            </w:r>
          </w:p>
        </w:tc>
      </w:tr>
      <w:tr>
        <w:trPr>
          <w:cantSplit w:val="0"/>
          <w:trHeight w:val="695" w:hRule="atLeast"/>
          <w:tblHeader w:val="0"/>
        </w:trPr>
        <w:tc>
          <w:tcPr>
            <w:tcBorders>
              <w:top w:color="000000" w:space="0" w:sz="0" w:val="nil"/>
              <w:left w:color="e3e3e3" w:space="0" w:sz="4" w:val="single"/>
              <w:bottom w:color="e3e3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BB">
            <w:pPr>
              <w:spacing w:line="240" w:lineRule="auto"/>
              <w:rPr>
                <w:sz w:val="28"/>
                <w:szCs w:val="28"/>
              </w:rPr>
            </w:pPr>
            <w:r w:rsidDel="00000000" w:rsidR="00000000" w:rsidRPr="00000000">
              <w:rPr>
                <w:sz w:val="28"/>
                <w:szCs w:val="28"/>
                <w:rtl w:val="0"/>
              </w:rPr>
              <w:t xml:space="preserve">Disfatta</w:t>
            </w:r>
          </w:p>
        </w:tc>
        <w:tc>
          <w:tcPr>
            <w:tcBorders>
              <w:top w:color="000000" w:space="0" w:sz="0" w:val="nil"/>
              <w:left w:color="e3e3e3" w:space="0" w:sz="4" w:val="single"/>
              <w:bottom w:color="e3e3e3" w:space="0" w:sz="4" w:val="single"/>
              <w:right w:color="e3e3e3" w:space="0" w:sz="4" w:val="single"/>
            </w:tcBorders>
            <w:tcMar>
              <w:top w:w="100.0" w:type="dxa"/>
              <w:left w:w="100.0" w:type="dxa"/>
              <w:bottom w:w="100.0" w:type="dxa"/>
              <w:right w:w="100.0" w:type="dxa"/>
            </w:tcMar>
            <w:vAlign w:val="center"/>
          </w:tcPr>
          <w:p w:rsidR="00000000" w:rsidDel="00000000" w:rsidP="00000000" w:rsidRDefault="00000000" w:rsidRPr="00000000" w14:paraId="000000BC">
            <w:pPr>
              <w:spacing w:line="240" w:lineRule="auto"/>
              <w:rPr>
                <w:sz w:val="28"/>
                <w:szCs w:val="28"/>
              </w:rPr>
            </w:pPr>
            <w:r w:rsidDel="00000000" w:rsidR="00000000" w:rsidRPr="00000000">
              <w:rPr>
                <w:sz w:val="28"/>
                <w:szCs w:val="28"/>
                <w:rtl w:val="0"/>
              </w:rPr>
              <w:t xml:space="preserve">Una sconfitta umiliante o una perdita significativa.</w:t>
            </w:r>
          </w:p>
        </w:tc>
      </w:tr>
      <w:tr>
        <w:trPr>
          <w:cantSplit w:val="0"/>
          <w:trHeight w:val="1055" w:hRule="atLeast"/>
          <w:tblHeader w:val="0"/>
        </w:trPr>
        <w:tc>
          <w:tcPr>
            <w:tcBorders>
              <w:top w:color="000000" w:space="0" w:sz="0" w:val="nil"/>
              <w:left w:color="e3e3e3" w:space="0" w:sz="4" w:val="single"/>
              <w:bottom w:color="e3e3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BD">
            <w:pPr>
              <w:spacing w:line="240" w:lineRule="auto"/>
              <w:rPr>
                <w:sz w:val="28"/>
                <w:szCs w:val="28"/>
              </w:rPr>
            </w:pPr>
            <w:r w:rsidDel="00000000" w:rsidR="00000000" w:rsidRPr="00000000">
              <w:rPr>
                <w:sz w:val="28"/>
                <w:szCs w:val="28"/>
                <w:rtl w:val="0"/>
              </w:rPr>
              <w:t xml:space="preserve">Delegazione</w:t>
            </w:r>
          </w:p>
        </w:tc>
        <w:tc>
          <w:tcPr>
            <w:tcBorders>
              <w:top w:color="000000" w:space="0" w:sz="0" w:val="nil"/>
              <w:left w:color="e3e3e3" w:space="0" w:sz="4" w:val="single"/>
              <w:bottom w:color="e3e3e3" w:space="0" w:sz="4" w:val="single"/>
              <w:right w:color="e3e3e3" w:space="0" w:sz="4" w:val="single"/>
            </w:tcBorders>
            <w:tcMar>
              <w:top w:w="100.0" w:type="dxa"/>
              <w:left w:w="100.0" w:type="dxa"/>
              <w:bottom w:w="100.0" w:type="dxa"/>
              <w:right w:w="100.0" w:type="dxa"/>
            </w:tcMar>
            <w:vAlign w:val="center"/>
          </w:tcPr>
          <w:p w:rsidR="00000000" w:rsidDel="00000000" w:rsidP="00000000" w:rsidRDefault="00000000" w:rsidRPr="00000000" w14:paraId="000000BE">
            <w:pPr>
              <w:spacing w:line="240" w:lineRule="auto"/>
              <w:rPr>
                <w:sz w:val="28"/>
                <w:szCs w:val="28"/>
              </w:rPr>
            </w:pPr>
            <w:r w:rsidDel="00000000" w:rsidR="00000000" w:rsidRPr="00000000">
              <w:rPr>
                <w:sz w:val="28"/>
                <w:szCs w:val="28"/>
                <w:rtl w:val="0"/>
              </w:rPr>
              <w:t xml:space="preserve">Un gruppo di persone inviate da un'organizzazione o un governo per rappresentare i loro interessi in una determinata situazione.</w:t>
            </w:r>
          </w:p>
        </w:tc>
      </w:tr>
      <w:tr>
        <w:trPr>
          <w:cantSplit w:val="0"/>
          <w:trHeight w:val="1055" w:hRule="atLeast"/>
          <w:tblHeader w:val="0"/>
        </w:trPr>
        <w:tc>
          <w:tcPr>
            <w:tcBorders>
              <w:top w:color="000000" w:space="0" w:sz="0" w:val="nil"/>
              <w:left w:color="e3e3e3" w:space="0" w:sz="4" w:val="single"/>
              <w:bottom w:color="e3e3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BF">
            <w:pPr>
              <w:spacing w:line="240" w:lineRule="auto"/>
              <w:rPr>
                <w:sz w:val="28"/>
                <w:szCs w:val="28"/>
              </w:rPr>
            </w:pPr>
            <w:r w:rsidDel="00000000" w:rsidR="00000000" w:rsidRPr="00000000">
              <w:rPr>
                <w:sz w:val="28"/>
                <w:szCs w:val="28"/>
                <w:rtl w:val="0"/>
              </w:rPr>
              <w:t xml:space="preserve">Vigilanza</w:t>
            </w:r>
          </w:p>
        </w:tc>
        <w:tc>
          <w:tcPr>
            <w:tcBorders>
              <w:top w:color="000000" w:space="0" w:sz="0" w:val="nil"/>
              <w:left w:color="e3e3e3" w:space="0" w:sz="4" w:val="single"/>
              <w:bottom w:color="e3e3e3" w:space="0" w:sz="4" w:val="single"/>
              <w:right w:color="e3e3e3" w:space="0" w:sz="4" w:val="single"/>
            </w:tcBorders>
            <w:tcMar>
              <w:top w:w="100.0" w:type="dxa"/>
              <w:left w:w="100.0" w:type="dxa"/>
              <w:bottom w:w="100.0" w:type="dxa"/>
              <w:right w:w="100.0" w:type="dxa"/>
            </w:tcMar>
            <w:vAlign w:val="center"/>
          </w:tcPr>
          <w:p w:rsidR="00000000" w:rsidDel="00000000" w:rsidP="00000000" w:rsidRDefault="00000000" w:rsidRPr="00000000" w14:paraId="000000C0">
            <w:pPr>
              <w:spacing w:line="240" w:lineRule="auto"/>
              <w:rPr>
                <w:sz w:val="28"/>
                <w:szCs w:val="28"/>
              </w:rPr>
            </w:pPr>
            <w:r w:rsidDel="00000000" w:rsidR="00000000" w:rsidRPr="00000000">
              <w:rPr>
                <w:sz w:val="28"/>
                <w:szCs w:val="28"/>
                <w:rtl w:val="0"/>
              </w:rPr>
              <w:t xml:space="preserve">Sorveglianza, controllo o osservazione costante di qualcosa per garantirne la conformità o la sicurezza.</w:t>
            </w:r>
          </w:p>
        </w:tc>
      </w:tr>
      <w:tr>
        <w:trPr>
          <w:cantSplit w:val="0"/>
          <w:trHeight w:val="1055" w:hRule="atLeast"/>
          <w:tblHeader w:val="0"/>
        </w:trPr>
        <w:tc>
          <w:tcPr>
            <w:tcBorders>
              <w:top w:color="000000" w:space="0" w:sz="0" w:val="nil"/>
              <w:left w:color="e3e3e3" w:space="0" w:sz="4" w:val="single"/>
              <w:bottom w:color="e3e3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C1">
            <w:pPr>
              <w:spacing w:line="240" w:lineRule="auto"/>
              <w:rPr>
                <w:sz w:val="28"/>
                <w:szCs w:val="28"/>
              </w:rPr>
            </w:pPr>
            <w:r w:rsidDel="00000000" w:rsidR="00000000" w:rsidRPr="00000000">
              <w:rPr>
                <w:sz w:val="28"/>
                <w:szCs w:val="28"/>
                <w:rtl w:val="0"/>
              </w:rPr>
              <w:t xml:space="preserve">Criminalità finanziaria</w:t>
            </w:r>
          </w:p>
        </w:tc>
        <w:tc>
          <w:tcPr>
            <w:tcBorders>
              <w:top w:color="000000" w:space="0" w:sz="0" w:val="nil"/>
              <w:left w:color="e3e3e3" w:space="0" w:sz="4" w:val="single"/>
              <w:bottom w:color="e3e3e3" w:space="0" w:sz="4" w:val="single"/>
              <w:right w:color="e3e3e3" w:space="0" w:sz="4" w:val="single"/>
            </w:tcBorders>
            <w:tcMar>
              <w:top w:w="100.0" w:type="dxa"/>
              <w:left w:w="100.0" w:type="dxa"/>
              <w:bottom w:w="100.0" w:type="dxa"/>
              <w:right w:w="100.0" w:type="dxa"/>
            </w:tcMar>
            <w:vAlign w:val="center"/>
          </w:tcPr>
          <w:p w:rsidR="00000000" w:rsidDel="00000000" w:rsidP="00000000" w:rsidRDefault="00000000" w:rsidRPr="00000000" w14:paraId="000000C2">
            <w:pPr>
              <w:spacing w:line="240" w:lineRule="auto"/>
              <w:rPr>
                <w:sz w:val="28"/>
                <w:szCs w:val="28"/>
              </w:rPr>
            </w:pPr>
            <w:r w:rsidDel="00000000" w:rsidR="00000000" w:rsidRPr="00000000">
              <w:rPr>
                <w:sz w:val="28"/>
                <w:szCs w:val="28"/>
                <w:rtl w:val="0"/>
              </w:rPr>
              <w:t xml:space="preserve">Attività illegali volte a ottenere guadagni finanziari attraverso comportamenti fraudolenti o illeciti all'interno del sistema finanziario.</w:t>
            </w:r>
          </w:p>
        </w:tc>
      </w:tr>
      <w:tr>
        <w:trPr>
          <w:cantSplit w:val="0"/>
          <w:trHeight w:val="695" w:hRule="atLeast"/>
          <w:tblHeader w:val="0"/>
        </w:trPr>
        <w:tc>
          <w:tcPr>
            <w:tcBorders>
              <w:top w:color="000000" w:space="0" w:sz="0" w:val="nil"/>
              <w:left w:color="e3e3e3" w:space="0" w:sz="4" w:val="single"/>
              <w:bottom w:color="e3e3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C3">
            <w:pPr>
              <w:spacing w:line="240" w:lineRule="auto"/>
              <w:rPr>
                <w:sz w:val="28"/>
                <w:szCs w:val="28"/>
              </w:rPr>
            </w:pPr>
            <w:r w:rsidDel="00000000" w:rsidR="00000000" w:rsidRPr="00000000">
              <w:rPr>
                <w:sz w:val="28"/>
                <w:szCs w:val="28"/>
                <w:rtl w:val="0"/>
              </w:rPr>
              <w:t xml:space="preserve">Integrità</w:t>
            </w:r>
          </w:p>
        </w:tc>
        <w:tc>
          <w:tcPr>
            <w:tcBorders>
              <w:top w:color="000000" w:space="0" w:sz="0" w:val="nil"/>
              <w:left w:color="e3e3e3" w:space="0" w:sz="4" w:val="single"/>
              <w:bottom w:color="e3e3e3" w:space="0" w:sz="4" w:val="single"/>
              <w:right w:color="e3e3e3" w:space="0" w:sz="4" w:val="single"/>
            </w:tcBorders>
            <w:tcMar>
              <w:top w:w="100.0" w:type="dxa"/>
              <w:left w:w="100.0" w:type="dxa"/>
              <w:bottom w:w="100.0" w:type="dxa"/>
              <w:right w:w="100.0" w:type="dxa"/>
            </w:tcMar>
            <w:vAlign w:val="center"/>
          </w:tcPr>
          <w:p w:rsidR="00000000" w:rsidDel="00000000" w:rsidP="00000000" w:rsidRDefault="00000000" w:rsidRPr="00000000" w14:paraId="000000C4">
            <w:pPr>
              <w:spacing w:line="240" w:lineRule="auto"/>
              <w:rPr>
                <w:sz w:val="28"/>
                <w:szCs w:val="28"/>
              </w:rPr>
            </w:pPr>
            <w:r w:rsidDel="00000000" w:rsidR="00000000" w:rsidRPr="00000000">
              <w:rPr>
                <w:sz w:val="28"/>
                <w:szCs w:val="28"/>
                <w:rtl w:val="0"/>
              </w:rPr>
              <w:t xml:space="preserve">La qualità di essere onesto, corretto e coerente nei principi e nelle azioni.</w:t>
            </w:r>
          </w:p>
        </w:tc>
      </w:tr>
    </w:tbl>
    <w:p w:rsidR="00000000" w:rsidDel="00000000" w:rsidP="00000000" w:rsidRDefault="00000000" w:rsidRPr="00000000" w14:paraId="000000C5">
      <w:pPr>
        <w:spacing w:before="480" w:line="240" w:lineRule="auto"/>
        <w:rPr>
          <w:sz w:val="28"/>
          <w:szCs w:val="28"/>
        </w:rPr>
      </w:pPr>
      <w:r w:rsidDel="00000000" w:rsidR="00000000" w:rsidRPr="00000000">
        <w:rPr>
          <w:rtl w:val="0"/>
        </w:rPr>
      </w:r>
    </w:p>
    <w:p w:rsidR="00000000" w:rsidDel="00000000" w:rsidP="00000000" w:rsidRDefault="00000000" w:rsidRPr="00000000" w14:paraId="000000C6">
      <w:pPr>
        <w:spacing w:before="480" w:line="240" w:lineRule="auto"/>
        <w:rPr>
          <w:sz w:val="28"/>
          <w:szCs w:val="28"/>
        </w:rPr>
      </w:pPr>
      <w:r w:rsidDel="00000000" w:rsidR="00000000" w:rsidRPr="00000000">
        <w:rPr>
          <w:rtl w:val="0"/>
        </w:rPr>
      </w:r>
    </w:p>
    <w:p w:rsidR="00000000" w:rsidDel="00000000" w:rsidP="00000000" w:rsidRDefault="00000000" w:rsidRPr="00000000" w14:paraId="000000C7">
      <w:pPr>
        <w:pStyle w:val="Title"/>
        <w:keepNext w:val="0"/>
        <w:keepLines w:val="0"/>
        <w:spacing w:before="480" w:lineRule="auto"/>
        <w:rPr/>
      </w:pPr>
      <w:bookmarkStart w:colFirst="0" w:colLast="0" w:name="_erg82hqtg8de" w:id="25"/>
      <w:bookmarkEnd w:id="25"/>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sz w:val="28"/>
          <w:szCs w:val="28"/>
        </w:rPr>
      </w:pPr>
      <w:r w:rsidDel="00000000" w:rsidR="00000000" w:rsidRPr="00000000">
        <w:rPr>
          <w:rtl w:val="0"/>
        </w:rPr>
      </w:r>
    </w:p>
    <w:tbl>
      <w:tblPr>
        <w:tblStyle w:val="Table7"/>
        <w:tblW w:w="92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
        <w:gridCol w:w="6885"/>
        <w:gridCol w:w="885"/>
        <w:gridCol w:w="930"/>
        <w:tblGridChange w:id="0">
          <w:tblGrid>
            <w:gridCol w:w="510"/>
            <w:gridCol w:w="6885"/>
            <w:gridCol w:w="885"/>
            <w:gridCol w:w="9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b w:val="1"/>
                <w:sz w:val="28"/>
                <w:szCs w:val="28"/>
              </w:rPr>
            </w:pPr>
            <w:r w:rsidDel="00000000" w:rsidR="00000000" w:rsidRPr="00000000">
              <w:rPr>
                <w:b w:val="1"/>
                <w:sz w:val="28"/>
                <w:szCs w:val="2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rPr>
                <w:sz w:val="28"/>
                <w:szCs w:val="28"/>
              </w:rPr>
            </w:pPr>
            <w:r w:rsidDel="00000000" w:rsidR="00000000" w:rsidRPr="00000000">
              <w:rPr>
                <w:sz w:val="28"/>
                <w:szCs w:val="28"/>
                <w:rtl w:val="0"/>
              </w:rPr>
              <w:t xml:space="preserve">Roma è stata eliminata durante le fasi finali del processo di selezione.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sz w:val="28"/>
                <w:szCs w:val="28"/>
                <w:highlight w:val="yellow"/>
              </w:rPr>
            </w:pPr>
            <w:r w:rsidDel="00000000" w:rsidR="00000000" w:rsidRPr="00000000">
              <w:rPr>
                <w:sz w:val="28"/>
                <w:szCs w:val="28"/>
                <w:highlight w:val="yellow"/>
                <w:rtl w:val="0"/>
              </w:rPr>
              <w:t xml:space="preserve">Vero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sz w:val="28"/>
                <w:szCs w:val="28"/>
              </w:rPr>
            </w:pPr>
            <w:r w:rsidDel="00000000" w:rsidR="00000000" w:rsidRPr="00000000">
              <w:rPr>
                <w:sz w:val="28"/>
                <w:szCs w:val="28"/>
                <w:rtl w:val="0"/>
              </w:rPr>
              <w:t xml:space="preserve">Falso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b w:val="1"/>
                <w:sz w:val="28"/>
                <w:szCs w:val="28"/>
              </w:rPr>
            </w:pPr>
            <w:r w:rsidDel="00000000" w:rsidR="00000000" w:rsidRPr="00000000">
              <w:rPr>
                <w:b w:val="1"/>
                <w:sz w:val="28"/>
                <w:szCs w:val="2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sz w:val="28"/>
                <w:szCs w:val="28"/>
              </w:rPr>
            </w:pPr>
            <w:r w:rsidDel="00000000" w:rsidR="00000000" w:rsidRPr="00000000">
              <w:rPr>
                <w:sz w:val="28"/>
                <w:szCs w:val="28"/>
                <w:rtl w:val="0"/>
              </w:rPr>
              <w:t xml:space="preserve">Prima della scelta finale, i rappresentanti delle città in gara hanno presentato al Parlamento UE le motivazioni per le quali la città da loro amministrata sarebbe stata la scelta migliore.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sz w:val="28"/>
                <w:szCs w:val="28"/>
                <w:highlight w:val="yellow"/>
              </w:rPr>
            </w:pPr>
            <w:r w:rsidDel="00000000" w:rsidR="00000000" w:rsidRPr="00000000">
              <w:rPr>
                <w:sz w:val="28"/>
                <w:szCs w:val="28"/>
                <w:highlight w:val="yellow"/>
                <w:rtl w:val="0"/>
              </w:rPr>
              <w:t xml:space="preserve">Vero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sz w:val="28"/>
                <w:szCs w:val="28"/>
              </w:rPr>
            </w:pPr>
            <w:r w:rsidDel="00000000" w:rsidR="00000000" w:rsidRPr="00000000">
              <w:rPr>
                <w:sz w:val="28"/>
                <w:szCs w:val="28"/>
                <w:rtl w:val="0"/>
              </w:rPr>
              <w:t xml:space="preserve">Falso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b w:val="1"/>
                <w:sz w:val="28"/>
                <w:szCs w:val="28"/>
              </w:rPr>
            </w:pPr>
            <w:r w:rsidDel="00000000" w:rsidR="00000000" w:rsidRPr="00000000">
              <w:rPr>
                <w:b w:val="1"/>
                <w:sz w:val="28"/>
                <w:szCs w:val="2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sz w:val="28"/>
                <w:szCs w:val="28"/>
              </w:rPr>
            </w:pPr>
            <w:r w:rsidDel="00000000" w:rsidR="00000000" w:rsidRPr="00000000">
              <w:rPr>
                <w:sz w:val="28"/>
                <w:szCs w:val="28"/>
                <w:rtl w:val="0"/>
              </w:rPr>
              <w:t xml:space="preserve">Francoforte svilupperà il mercato del lavoro, per garantire servizi anche ai dipendenti delle istituzioni europee che non parlano il tedesco.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sz w:val="28"/>
                <w:szCs w:val="28"/>
              </w:rPr>
            </w:pPr>
            <w:r w:rsidDel="00000000" w:rsidR="00000000" w:rsidRPr="00000000">
              <w:rPr>
                <w:sz w:val="28"/>
                <w:szCs w:val="28"/>
                <w:rtl w:val="0"/>
              </w:rPr>
              <w:t xml:space="preserve">Vero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sz w:val="28"/>
                <w:szCs w:val="28"/>
                <w:highlight w:val="yellow"/>
              </w:rPr>
            </w:pPr>
            <w:r w:rsidDel="00000000" w:rsidR="00000000" w:rsidRPr="00000000">
              <w:rPr>
                <w:sz w:val="28"/>
                <w:szCs w:val="28"/>
                <w:highlight w:val="yellow"/>
                <w:rtl w:val="0"/>
              </w:rPr>
              <w:t xml:space="preserve">Falso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b w:val="1"/>
                <w:sz w:val="28"/>
                <w:szCs w:val="28"/>
              </w:rPr>
            </w:pPr>
            <w:r w:rsidDel="00000000" w:rsidR="00000000" w:rsidRPr="00000000">
              <w:rPr>
                <w:b w:val="1"/>
                <w:sz w:val="28"/>
                <w:szCs w:val="28"/>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sz w:val="28"/>
                <w:szCs w:val="28"/>
              </w:rPr>
            </w:pPr>
            <w:r w:rsidDel="00000000" w:rsidR="00000000" w:rsidRPr="00000000">
              <w:rPr>
                <w:sz w:val="28"/>
                <w:szCs w:val="28"/>
                <w:rtl w:val="0"/>
              </w:rPr>
              <w:t xml:space="preserve">Il soprannome </w:t>
            </w:r>
            <w:r w:rsidDel="00000000" w:rsidR="00000000" w:rsidRPr="00000000">
              <w:rPr>
                <w:i w:val="1"/>
                <w:sz w:val="28"/>
                <w:szCs w:val="28"/>
                <w:rtl w:val="0"/>
              </w:rPr>
              <w:t xml:space="preserve">Mainhattan</w:t>
            </w:r>
            <w:r w:rsidDel="00000000" w:rsidR="00000000" w:rsidRPr="00000000">
              <w:rPr>
                <w:sz w:val="28"/>
                <w:szCs w:val="28"/>
                <w:rtl w:val="0"/>
              </w:rPr>
              <w:t xml:space="preserve"> deriva dal nome in tedesco del fiume che scorre a Francoforte.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sz w:val="28"/>
                <w:szCs w:val="28"/>
                <w:highlight w:val="yellow"/>
              </w:rPr>
            </w:pPr>
            <w:r w:rsidDel="00000000" w:rsidR="00000000" w:rsidRPr="00000000">
              <w:rPr>
                <w:sz w:val="28"/>
                <w:szCs w:val="28"/>
                <w:highlight w:val="yellow"/>
                <w:rtl w:val="0"/>
              </w:rPr>
              <w:t xml:space="preserve">Vero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sz w:val="28"/>
                <w:szCs w:val="28"/>
              </w:rPr>
            </w:pPr>
            <w:r w:rsidDel="00000000" w:rsidR="00000000" w:rsidRPr="00000000">
              <w:rPr>
                <w:sz w:val="28"/>
                <w:szCs w:val="28"/>
                <w:rtl w:val="0"/>
              </w:rPr>
              <w:t xml:space="preserve">Falso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b w:val="1"/>
                <w:sz w:val="28"/>
                <w:szCs w:val="28"/>
              </w:rPr>
            </w:pPr>
            <w:r w:rsidDel="00000000" w:rsidR="00000000" w:rsidRPr="00000000">
              <w:rPr>
                <w:b w:val="1"/>
                <w:sz w:val="28"/>
                <w:szCs w:val="28"/>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sz w:val="28"/>
                <w:szCs w:val="28"/>
              </w:rPr>
            </w:pPr>
            <w:r w:rsidDel="00000000" w:rsidR="00000000" w:rsidRPr="00000000">
              <w:rPr>
                <w:sz w:val="28"/>
                <w:szCs w:val="28"/>
                <w:rtl w:val="0"/>
              </w:rPr>
              <w:t xml:space="preserve">I rappresentanti dei partiti politici italiani all’Europarlamento sono rimasti contrariati e hanno espresso il loro disappunto verso l’istituzione europea.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sz w:val="28"/>
                <w:szCs w:val="28"/>
              </w:rPr>
            </w:pPr>
            <w:r w:rsidDel="00000000" w:rsidR="00000000" w:rsidRPr="00000000">
              <w:rPr>
                <w:sz w:val="28"/>
                <w:szCs w:val="28"/>
                <w:rtl w:val="0"/>
              </w:rPr>
              <w:t xml:space="preserve">Vero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sz w:val="28"/>
                <w:szCs w:val="28"/>
                <w:highlight w:val="yellow"/>
              </w:rPr>
            </w:pPr>
            <w:r w:rsidDel="00000000" w:rsidR="00000000" w:rsidRPr="00000000">
              <w:rPr>
                <w:sz w:val="28"/>
                <w:szCs w:val="28"/>
                <w:highlight w:val="yellow"/>
                <w:rtl w:val="0"/>
              </w:rPr>
              <w:t xml:space="preserve">Falso</w:t>
            </w:r>
          </w:p>
        </w:tc>
      </w:tr>
    </w:tbl>
    <w:p w:rsidR="00000000" w:rsidDel="00000000" w:rsidP="00000000" w:rsidRDefault="00000000" w:rsidRPr="00000000" w14:paraId="000000E3">
      <w:pPr>
        <w:rPr>
          <w:sz w:val="28"/>
          <w:szCs w:val="28"/>
        </w:rPr>
      </w:pPr>
      <w:r w:rsidDel="00000000" w:rsidR="00000000" w:rsidRPr="00000000">
        <w:rPr>
          <w:rtl w:val="0"/>
        </w:rPr>
      </w:r>
    </w:p>
    <w:p w:rsidR="00000000" w:rsidDel="00000000" w:rsidP="00000000" w:rsidRDefault="00000000" w:rsidRPr="00000000" w14:paraId="000000E4">
      <w:pPr>
        <w:rPr>
          <w:sz w:val="28"/>
          <w:szCs w:val="28"/>
        </w:rPr>
      </w:pPr>
      <w:r w:rsidDel="00000000" w:rsidR="00000000" w:rsidRPr="00000000">
        <w:rPr>
          <w:rtl w:val="0"/>
        </w:rPr>
      </w:r>
    </w:p>
    <w:tbl>
      <w:tblPr>
        <w:tblStyle w:val="Table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Possibili risposte</w:t>
            </w:r>
          </w:p>
          <w:p w:rsidR="00000000" w:rsidDel="00000000" w:rsidP="00000000" w:rsidRDefault="00000000" w:rsidRPr="00000000" w14:paraId="000000E6">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E7">
            <w:pPr>
              <w:widowControl w:val="0"/>
              <w:spacing w:line="240" w:lineRule="auto"/>
              <w:rPr>
                <w:i w:val="1"/>
                <w:sz w:val="28"/>
                <w:szCs w:val="28"/>
              </w:rPr>
            </w:pPr>
            <w:r w:rsidDel="00000000" w:rsidR="00000000" w:rsidRPr="00000000">
              <w:rPr>
                <w:i w:val="1"/>
                <w:sz w:val="28"/>
                <w:szCs w:val="28"/>
                <w:rtl w:val="0"/>
              </w:rPr>
              <w:t xml:space="preserve">1. I fattori determinanti nella scelta di Francoforte come sede principale dell'agenzia europea contro il riciclaggio di denaro potrebbero includere la sua posizione centrale in Germania, il suo ruolo di centro finanziario dell'Europa e la presenza di istituzioni finanziarie importanti come la BCE e la Borsa. Inoltre, il supporto politico e finanziario del governo tedesco potrebbe aver giocato un ruolo chiave nella decisione.</w:t>
            </w:r>
          </w:p>
          <w:p w:rsidR="00000000" w:rsidDel="00000000" w:rsidP="00000000" w:rsidRDefault="00000000" w:rsidRPr="00000000" w14:paraId="000000E8">
            <w:pPr>
              <w:widowControl w:val="0"/>
              <w:spacing w:line="240" w:lineRule="auto"/>
              <w:rPr>
                <w:i w:val="1"/>
                <w:sz w:val="28"/>
                <w:szCs w:val="28"/>
              </w:rPr>
            </w:pPr>
            <w:r w:rsidDel="00000000" w:rsidR="00000000" w:rsidRPr="00000000">
              <w:rPr>
                <w:rtl w:val="0"/>
              </w:rPr>
            </w:r>
          </w:p>
          <w:p w:rsidR="00000000" w:rsidDel="00000000" w:rsidP="00000000" w:rsidRDefault="00000000" w:rsidRPr="00000000" w14:paraId="000000E9">
            <w:pPr>
              <w:widowControl w:val="0"/>
              <w:spacing w:line="240" w:lineRule="auto"/>
              <w:rPr>
                <w:i w:val="1"/>
                <w:sz w:val="28"/>
                <w:szCs w:val="28"/>
              </w:rPr>
            </w:pPr>
            <w:r w:rsidDel="00000000" w:rsidR="00000000" w:rsidRPr="00000000">
              <w:rPr>
                <w:i w:val="1"/>
                <w:sz w:val="28"/>
                <w:szCs w:val="28"/>
                <w:rtl w:val="0"/>
              </w:rPr>
              <w:t xml:space="preserve">2. Le dinamiche politiche ed economiche dell'Unione Europea, come le relazioni tra i vari Stati membri e le pressioni economiche, potrebbero aver influenzato il processo decisionale riguardante la sede dell'agenzia. Ad esempio, il desiderio di bilanciare gli interessi nazionali con quelli dell'UE nel suo insieme potrebbe aver avuto un impatto significativo.</w:t>
            </w:r>
          </w:p>
          <w:p w:rsidR="00000000" w:rsidDel="00000000" w:rsidP="00000000" w:rsidRDefault="00000000" w:rsidRPr="00000000" w14:paraId="000000EA">
            <w:pPr>
              <w:widowControl w:val="0"/>
              <w:spacing w:line="240" w:lineRule="auto"/>
              <w:rPr>
                <w:i w:val="1"/>
                <w:sz w:val="28"/>
                <w:szCs w:val="28"/>
              </w:rPr>
            </w:pPr>
            <w:r w:rsidDel="00000000" w:rsidR="00000000" w:rsidRPr="00000000">
              <w:rPr>
                <w:rtl w:val="0"/>
              </w:rPr>
            </w:r>
          </w:p>
          <w:p w:rsidR="00000000" w:rsidDel="00000000" w:rsidP="00000000" w:rsidRDefault="00000000" w:rsidRPr="00000000" w14:paraId="000000EB">
            <w:pPr>
              <w:widowControl w:val="0"/>
              <w:spacing w:line="240" w:lineRule="auto"/>
              <w:rPr>
                <w:i w:val="1"/>
                <w:sz w:val="28"/>
                <w:szCs w:val="28"/>
              </w:rPr>
            </w:pPr>
            <w:r w:rsidDel="00000000" w:rsidR="00000000" w:rsidRPr="00000000">
              <w:rPr>
                <w:i w:val="1"/>
                <w:sz w:val="28"/>
                <w:szCs w:val="28"/>
                <w:rtl w:val="0"/>
              </w:rPr>
              <w:t xml:space="preserve">3. La scelta di Francoforte potrebbe portare a un rafforzamento del suo ruolo come centro finanziario europeo, con conseguenze positive sull'economia locale e sulla sua posizione nel contesto europeo. </w:t>
            </w:r>
          </w:p>
          <w:p w:rsidR="00000000" w:rsidDel="00000000" w:rsidP="00000000" w:rsidRDefault="00000000" w:rsidRPr="00000000" w14:paraId="000000EC">
            <w:pPr>
              <w:widowControl w:val="0"/>
              <w:spacing w:line="240" w:lineRule="auto"/>
              <w:rPr>
                <w:i w:val="1"/>
                <w:sz w:val="28"/>
                <w:szCs w:val="28"/>
              </w:rPr>
            </w:pPr>
            <w:r w:rsidDel="00000000" w:rsidR="00000000" w:rsidRPr="00000000">
              <w:rPr>
                <w:rtl w:val="0"/>
              </w:rPr>
            </w:r>
          </w:p>
          <w:p w:rsidR="00000000" w:rsidDel="00000000" w:rsidP="00000000" w:rsidRDefault="00000000" w:rsidRPr="00000000" w14:paraId="000000ED">
            <w:pPr>
              <w:widowControl w:val="0"/>
              <w:spacing w:line="240" w:lineRule="auto"/>
              <w:rPr>
                <w:i w:val="1"/>
                <w:sz w:val="28"/>
                <w:szCs w:val="28"/>
              </w:rPr>
            </w:pPr>
            <w:r w:rsidDel="00000000" w:rsidR="00000000" w:rsidRPr="00000000">
              <w:rPr>
                <w:i w:val="1"/>
                <w:sz w:val="28"/>
                <w:szCs w:val="28"/>
                <w:rtl w:val="0"/>
              </w:rPr>
              <w:t xml:space="preserve">4. L'assegnazione dell'agenzia a Francoforte potrebbe essere vista come un riconoscimento del ruolo preminente della Germania nell'Unione Europea, specialmente nel settore finanziario. Ciò potrebbe aumentare la percezione dell'influenza e del prestigio della Germania all'interno dell'UE.</w:t>
            </w:r>
          </w:p>
          <w:p w:rsidR="00000000" w:rsidDel="00000000" w:rsidP="00000000" w:rsidRDefault="00000000" w:rsidRPr="00000000" w14:paraId="000000EE">
            <w:pPr>
              <w:widowControl w:val="0"/>
              <w:spacing w:line="240" w:lineRule="auto"/>
              <w:rPr>
                <w:i w:val="1"/>
                <w:sz w:val="28"/>
                <w:szCs w:val="28"/>
              </w:rPr>
            </w:pPr>
            <w:r w:rsidDel="00000000" w:rsidR="00000000" w:rsidRPr="00000000">
              <w:rPr>
                <w:rtl w:val="0"/>
              </w:rPr>
            </w:r>
          </w:p>
          <w:p w:rsidR="00000000" w:rsidDel="00000000" w:rsidP="00000000" w:rsidRDefault="00000000" w:rsidRPr="00000000" w14:paraId="000000EF">
            <w:pPr>
              <w:widowControl w:val="0"/>
              <w:spacing w:line="240" w:lineRule="auto"/>
              <w:rPr>
                <w:i w:val="1"/>
                <w:sz w:val="28"/>
                <w:szCs w:val="28"/>
              </w:rPr>
            </w:pPr>
            <w:r w:rsidDel="00000000" w:rsidR="00000000" w:rsidRPr="00000000">
              <w:rPr>
                <w:i w:val="1"/>
                <w:sz w:val="28"/>
                <w:szCs w:val="28"/>
                <w:rtl w:val="0"/>
              </w:rPr>
              <w:t xml:space="preserve">5. L'istituzione di questa agenzia dimostra l'impegno dell'UE nel combattere i reati finanziari e proteggere l'integrità del suo sistema finanziario. Questo può essere interpretato come un passo significativo verso una maggiore sicurezza e stabilità nell'ambito finanziario europeo.</w:t>
            </w:r>
          </w:p>
          <w:p w:rsidR="00000000" w:rsidDel="00000000" w:rsidP="00000000" w:rsidRDefault="00000000" w:rsidRPr="00000000" w14:paraId="000000F0">
            <w:pPr>
              <w:widowControl w:val="0"/>
              <w:spacing w:line="240" w:lineRule="auto"/>
              <w:rPr>
                <w:i w:val="1"/>
                <w:sz w:val="28"/>
                <w:szCs w:val="28"/>
              </w:rPr>
            </w:pPr>
            <w:r w:rsidDel="00000000" w:rsidR="00000000" w:rsidRPr="00000000">
              <w:rPr>
                <w:rtl w:val="0"/>
              </w:rPr>
            </w:r>
          </w:p>
          <w:p w:rsidR="00000000" w:rsidDel="00000000" w:rsidP="00000000" w:rsidRDefault="00000000" w:rsidRPr="00000000" w14:paraId="000000F1">
            <w:pPr>
              <w:widowControl w:val="0"/>
              <w:spacing w:line="240" w:lineRule="auto"/>
              <w:rPr>
                <w:i w:val="1"/>
                <w:sz w:val="28"/>
                <w:szCs w:val="28"/>
              </w:rPr>
            </w:pPr>
            <w:r w:rsidDel="00000000" w:rsidR="00000000" w:rsidRPr="00000000">
              <w:rPr>
                <w:i w:val="1"/>
                <w:sz w:val="28"/>
                <w:szCs w:val="28"/>
                <w:rtl w:val="0"/>
              </w:rPr>
              <w:t xml:space="preserve">6. Le sfide nel contrastare le attività finanziarie illecite potrebbero includere la necessità di collaborazione tra i vari Stati membri, la gestione dei dati sensibili e la capacità di adattarsi rapidamente a nuove forme di criminalità finanziaria. Tuttavia, l'agenzia offre anche opportunità per coordinare le risposte e rafforzare la cooperazione transfrontaliera.</w:t>
            </w:r>
          </w:p>
          <w:p w:rsidR="00000000" w:rsidDel="00000000" w:rsidP="00000000" w:rsidRDefault="00000000" w:rsidRPr="00000000" w14:paraId="000000F2">
            <w:pPr>
              <w:widowControl w:val="0"/>
              <w:spacing w:line="240" w:lineRule="auto"/>
              <w:rPr>
                <w:i w:val="1"/>
                <w:sz w:val="28"/>
                <w:szCs w:val="28"/>
              </w:rPr>
            </w:pPr>
            <w:r w:rsidDel="00000000" w:rsidR="00000000" w:rsidRPr="00000000">
              <w:rPr>
                <w:rtl w:val="0"/>
              </w:rPr>
            </w:r>
          </w:p>
          <w:p w:rsidR="00000000" w:rsidDel="00000000" w:rsidP="00000000" w:rsidRDefault="00000000" w:rsidRPr="00000000" w14:paraId="000000F3">
            <w:pPr>
              <w:widowControl w:val="0"/>
              <w:spacing w:line="240" w:lineRule="auto"/>
              <w:rPr>
                <w:i w:val="1"/>
                <w:sz w:val="28"/>
                <w:szCs w:val="28"/>
              </w:rPr>
            </w:pPr>
            <w:r w:rsidDel="00000000" w:rsidR="00000000" w:rsidRPr="00000000">
              <w:rPr>
                <w:rtl w:val="0"/>
              </w:rPr>
            </w:r>
          </w:p>
          <w:p w:rsidR="00000000" w:rsidDel="00000000" w:rsidP="00000000" w:rsidRDefault="00000000" w:rsidRPr="00000000" w14:paraId="000000F4">
            <w:pPr>
              <w:widowControl w:val="0"/>
              <w:spacing w:line="240" w:lineRule="auto"/>
              <w:rPr>
                <w:i w:val="1"/>
                <w:sz w:val="28"/>
                <w:szCs w:val="28"/>
              </w:rPr>
            </w:pPr>
            <w:r w:rsidDel="00000000" w:rsidR="00000000" w:rsidRPr="00000000">
              <w:rPr>
                <w:i w:val="1"/>
                <w:sz w:val="28"/>
                <w:szCs w:val="28"/>
                <w:rtl w:val="0"/>
              </w:rPr>
              <w:t xml:space="preserve">7. Nel lungo termine, la designazione di Francoforte come sede dell'agenzia potrebbe portare a benefici economici duraturi per la città, come l'attrazione di investimenti e la creazione di posti di lavoro nel settore finanziario. Tuttavia, potrebbe anche comportare sfide come la gestione dell'espansione urbana e la pressione sui servizi pubblici.</w:t>
            </w:r>
          </w:p>
          <w:p w:rsidR="00000000" w:rsidDel="00000000" w:rsidP="00000000" w:rsidRDefault="00000000" w:rsidRPr="00000000" w14:paraId="000000F5">
            <w:pPr>
              <w:widowControl w:val="0"/>
              <w:spacing w:line="240" w:lineRule="auto"/>
              <w:rPr>
                <w:i w:val="1"/>
                <w:sz w:val="28"/>
                <w:szCs w:val="28"/>
              </w:rPr>
            </w:pPr>
            <w:r w:rsidDel="00000000" w:rsidR="00000000" w:rsidRPr="00000000">
              <w:rPr>
                <w:rtl w:val="0"/>
              </w:rPr>
            </w:r>
          </w:p>
          <w:p w:rsidR="00000000" w:rsidDel="00000000" w:rsidP="00000000" w:rsidRDefault="00000000" w:rsidRPr="00000000" w14:paraId="000000F6">
            <w:pPr>
              <w:widowControl w:val="0"/>
              <w:spacing w:line="240" w:lineRule="auto"/>
              <w:rPr>
                <w:i w:val="1"/>
                <w:sz w:val="28"/>
                <w:szCs w:val="28"/>
              </w:rPr>
            </w:pPr>
            <w:r w:rsidDel="00000000" w:rsidR="00000000" w:rsidRPr="00000000">
              <w:rPr>
                <w:i w:val="1"/>
                <w:sz w:val="28"/>
                <w:szCs w:val="28"/>
                <w:rtl w:val="0"/>
              </w:rPr>
              <w:t xml:space="preserve">8. Dal punto di vista etico, è importante garantire che l'agenzia operi in modo trasparente e responsabile, rispettando i diritti dei cittadini e proteggendo la privacy delle informazioni sensibili. Inoltre, dovrebbe essere in grado di agire in modo efficace ed equo nel contrastare il riciclaggio di denaro e altre forme di criminalità finanziaria.</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bl>
    <w:p w:rsidR="00000000" w:rsidDel="00000000" w:rsidP="00000000" w:rsidRDefault="00000000" w:rsidRPr="00000000" w14:paraId="000000F8">
      <w:pPr>
        <w:rPr>
          <w:sz w:val="28"/>
          <w:szCs w:val="28"/>
        </w:rPr>
      </w:pPr>
      <w:r w:rsidDel="00000000" w:rsidR="00000000" w:rsidRPr="00000000">
        <w:rPr>
          <w:rtl w:val="0"/>
        </w:rPr>
      </w:r>
    </w:p>
    <w:sectPr>
      <w:headerReference r:id="rId12" w:type="default"/>
      <w:footerReference r:id="rId1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A">
    <w:pPr>
      <w:rPr/>
    </w:pPr>
    <w:hyperlink r:id="rId1">
      <w:r w:rsidDel="00000000" w:rsidR="00000000" w:rsidRPr="00000000">
        <w:rPr>
          <w:color w:val="1155cc"/>
          <w:u w:val="single"/>
          <w:rtl w:val="0"/>
        </w:rPr>
        <w:t xml:space="preserve">www.italianodellafinanza.it</w:t>
      </w:r>
    </w:hyperlink>
    <w:r w:rsidDel="00000000" w:rsidR="00000000" w:rsidRPr="00000000">
      <w:rPr>
        <w:rtl w:val="0"/>
      </w:rPr>
      <w:tab/>
    </w:r>
  </w:p>
  <w:p w:rsidR="00000000" w:rsidDel="00000000" w:rsidP="00000000" w:rsidRDefault="00000000" w:rsidRPr="00000000" w14:paraId="000000FB">
    <w:pPr>
      <w:rPr/>
    </w:pPr>
    <w:hyperlink r:id="rId2">
      <w:r w:rsidDel="00000000" w:rsidR="00000000" w:rsidRPr="00000000">
        <w:rPr>
          <w:color w:val="1155cc"/>
          <w:u w:val="single"/>
          <w:rtl w:val="0"/>
        </w:rPr>
        <w:t xml:space="preserve">info@italianodellafinanza.it</w:t>
      </w:r>
    </w:hyperlink>
    <w:r w:rsidDel="00000000" w:rsidR="00000000" w:rsidRPr="00000000">
      <w:rPr>
        <w:rtl w:val="0"/>
      </w:rPr>
      <w:t xml:space="preserve"> </w:t>
    </w:r>
  </w:p>
  <w:p w:rsidR="00000000" w:rsidDel="00000000" w:rsidP="00000000" w:rsidRDefault="00000000" w:rsidRPr="00000000" w14:paraId="000000FC">
    <w:pPr>
      <w:rPr/>
    </w:pPr>
    <w:hyperlink r:id="rId3">
      <w:r w:rsidDel="00000000" w:rsidR="00000000" w:rsidRPr="00000000">
        <w:rPr>
          <w:color w:val="1155cc"/>
          <w:u w:val="single"/>
          <w:rtl w:val="0"/>
        </w:rPr>
        <w:t xml:space="preserve">LinkedIn</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9">
    <w:pPr>
      <w:rPr/>
    </w:pPr>
    <w:r w:rsidDel="00000000" w:rsidR="00000000" w:rsidRPr="00000000">
      <w:rPr/>
      <w:pict>
        <v:shape id="WordPictureWatermark1" style="position:absolute;width:451.27559055118115pt;height:451.27559055118115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comune.roma.it/web/it/notizia.page?contentId=NWS1065880" TargetMode="External"/><Relationship Id="rId10" Type="http://schemas.openxmlformats.org/officeDocument/2006/relationships/hyperlink" Target="https://it.wikipedia.org/wiki/Torri_Ligini"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mune.roma.it/web/it/notizia.page?contentId=NWS1065880" TargetMode="External"/><Relationship Id="rId5" Type="http://schemas.openxmlformats.org/officeDocument/2006/relationships/styles" Target="styles.xml"/><Relationship Id="rId6" Type="http://schemas.openxmlformats.org/officeDocument/2006/relationships/hyperlink" Target="https://www.ilsole24ore.com/art/antiriciclaggio-francoforte-sede-nuova-agenzia-ue-AFlvgpoC" TargetMode="External"/><Relationship Id="rId7" Type="http://schemas.openxmlformats.org/officeDocument/2006/relationships/hyperlink" Target="https://www.comune.roma.it/web/it/notizia.page?contentId=NWS1065880" TargetMode="External"/><Relationship Id="rId8" Type="http://schemas.openxmlformats.org/officeDocument/2006/relationships/hyperlink" Target="https://www.eiopa.europa.eu/about_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alianodellafinanza.it" TargetMode="External"/><Relationship Id="rId2" Type="http://schemas.openxmlformats.org/officeDocument/2006/relationships/hyperlink" Target="mailto:info@italianodellafinanza.it" TargetMode="External"/><Relationship Id="rId3" Type="http://schemas.openxmlformats.org/officeDocument/2006/relationships/hyperlink" Target="https://www.linkedin.com/in/anna-quaranta-40a4353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